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E67DB5">
      <w:pPr>
        <w:ind w:firstLine="2397" w:firstLineChars="199"/>
        <w:rPr>
          <w:rFonts w:ascii="Times New Roman" w:hAnsi="Times New Roman" w:eastAsia="宋体" w:cs="Times New Roman"/>
          <w:b/>
          <w:sz w:val="120"/>
          <w:szCs w:val="120"/>
        </w:rPr>
      </w:pPr>
      <w:r>
        <w:rPr>
          <w:rFonts w:hint="eastAsia" w:ascii="Times New Roman" w:hAnsi="Times New Roman" w:eastAsia="宋体" w:cs="Times New Roman"/>
          <w:b/>
          <w:sz w:val="120"/>
          <w:szCs w:val="120"/>
          <w:lang w:val="en-US" w:eastAsia="zh-CN"/>
        </w:rPr>
        <w:t>招标</w:t>
      </w:r>
      <w:r>
        <w:rPr>
          <w:rFonts w:hint="eastAsia" w:ascii="Times New Roman" w:hAnsi="Times New Roman" w:eastAsia="宋体" w:cs="Times New Roman"/>
          <w:b/>
          <w:sz w:val="120"/>
          <w:szCs w:val="120"/>
        </w:rPr>
        <w:t>文件</w:t>
      </w:r>
    </w:p>
    <w:p w14:paraId="0145377B">
      <w:pPr>
        <w:rPr>
          <w:rFonts w:ascii="Times New Roman" w:hAnsi="Times New Roman" w:eastAsia="宋体" w:cs="Times New Roman"/>
          <w:szCs w:val="22"/>
        </w:rPr>
      </w:pPr>
    </w:p>
    <w:p w14:paraId="2C31494D">
      <w:pPr>
        <w:jc w:val="center"/>
        <w:rPr>
          <w:rFonts w:ascii="Times New Roman" w:hAnsi="Times New Roman" w:eastAsia="宋体" w:cs="Times New Roman"/>
          <w:b/>
          <w:sz w:val="52"/>
          <w:szCs w:val="52"/>
        </w:rPr>
      </w:pPr>
      <w:r>
        <w:rPr>
          <w:rFonts w:hint="eastAsia" w:ascii="Times New Roman" w:hAnsi="Times New Roman" w:eastAsia="宋体" w:cs="Times New Roman"/>
          <w:b/>
          <w:sz w:val="52"/>
          <w:szCs w:val="52"/>
        </w:rPr>
        <w:t xml:space="preserve">   （设备类）</w:t>
      </w:r>
    </w:p>
    <w:p w14:paraId="121355CA">
      <w:pPr>
        <w:rPr>
          <w:rFonts w:ascii="Times New Roman" w:hAnsi="Times New Roman" w:eastAsia="宋体" w:cs="Times New Roman"/>
          <w:szCs w:val="22"/>
        </w:rPr>
      </w:pPr>
    </w:p>
    <w:p w14:paraId="1C808159">
      <w:pPr>
        <w:rPr>
          <w:rFonts w:ascii="Times New Roman" w:hAnsi="Times New Roman" w:eastAsia="宋体" w:cs="Times New Roman"/>
        </w:rPr>
      </w:pPr>
    </w:p>
    <w:p w14:paraId="141179F0">
      <w:pPr>
        <w:rPr>
          <w:rFonts w:ascii="Times New Roman" w:hAnsi="Times New Roman" w:eastAsia="宋体" w:cs="Times New Roman"/>
        </w:rPr>
      </w:pPr>
    </w:p>
    <w:p w14:paraId="04021BEF">
      <w:pPr>
        <w:rPr>
          <w:rFonts w:ascii="Times New Roman" w:hAnsi="Times New Roman" w:eastAsia="宋体" w:cs="Times New Roman"/>
        </w:rPr>
      </w:pPr>
    </w:p>
    <w:p w14:paraId="21B49710">
      <w:pPr>
        <w:rPr>
          <w:rFonts w:ascii="Times New Roman" w:hAnsi="Times New Roman" w:eastAsia="宋体" w:cs="Times New Roman"/>
        </w:rPr>
      </w:pPr>
    </w:p>
    <w:p w14:paraId="1520B768">
      <w:pPr>
        <w:rPr>
          <w:rFonts w:ascii="Times New Roman" w:hAnsi="Times New Roman" w:eastAsia="宋体" w:cs="Times New Roman"/>
        </w:rPr>
      </w:pPr>
    </w:p>
    <w:p w14:paraId="1750B480">
      <w:pPr>
        <w:rPr>
          <w:rFonts w:ascii="Times New Roman" w:hAnsi="Times New Roman" w:eastAsia="宋体" w:cs="Times New Roman"/>
        </w:rPr>
      </w:pPr>
    </w:p>
    <w:p w14:paraId="071C6865">
      <w:pPr>
        <w:rPr>
          <w:rFonts w:ascii="Times New Roman" w:hAnsi="Times New Roman" w:eastAsia="宋体" w:cs="Times New Roman"/>
        </w:rPr>
      </w:pPr>
    </w:p>
    <w:p w14:paraId="38AAF9BC">
      <w:pPr>
        <w:rPr>
          <w:rFonts w:ascii="Times New Roman" w:hAnsi="Times New Roman" w:eastAsia="宋体" w:cs="Times New Roman"/>
        </w:rPr>
      </w:pPr>
    </w:p>
    <w:p w14:paraId="332907E2">
      <w:pPr>
        <w:rPr>
          <w:rFonts w:ascii="Times New Roman" w:hAnsi="Times New Roman" w:eastAsia="宋体" w:cs="Times New Roman"/>
        </w:rPr>
      </w:pPr>
    </w:p>
    <w:p w14:paraId="359E4B51">
      <w:pPr>
        <w:jc w:val="center"/>
        <w:rPr>
          <w:rFonts w:hint="eastAsia" w:ascii="宋体" w:hAnsi="宋体" w:eastAsia="宋体" w:cs="宋体"/>
          <w:sz w:val="52"/>
          <w:szCs w:val="52"/>
          <w:lang w:eastAsia="zh-CN"/>
        </w:rPr>
      </w:pPr>
      <w:r>
        <w:rPr>
          <w:rFonts w:hint="eastAsia" w:ascii="宋体" w:hAnsi="宋体" w:eastAsia="宋体" w:cs="宋体"/>
          <w:b/>
          <w:sz w:val="44"/>
          <w:szCs w:val="44"/>
        </w:rPr>
        <w:t>项目编号：XH-SB-2026001</w:t>
      </w:r>
    </w:p>
    <w:p w14:paraId="422F92E0">
      <w:pPr>
        <w:widowControl w:val="0"/>
        <w:jc w:val="center"/>
        <w:rPr>
          <w:rFonts w:ascii="宋体" w:hAnsi="宋体" w:eastAsia="宋体" w:cs="宋体"/>
          <w:color w:val="FF0000"/>
          <w:kern w:val="2"/>
          <w:sz w:val="21"/>
          <w:szCs w:val="24"/>
          <w:lang w:val="en-US" w:eastAsia="zh-CN" w:bidi="ar-SA"/>
        </w:rPr>
      </w:pPr>
    </w:p>
    <w:p w14:paraId="2F08D694">
      <w:pPr>
        <w:jc w:val="center"/>
        <w:rPr>
          <w:rFonts w:ascii="Times New Roman" w:hAnsi="Times New Roman" w:eastAsia="宋体" w:cs="Times New Roman"/>
          <w:b/>
          <w:bCs/>
          <w:sz w:val="44"/>
          <w:szCs w:val="44"/>
        </w:rPr>
      </w:pPr>
      <w:r>
        <w:rPr>
          <w:rFonts w:hint="eastAsia" w:ascii="宋体" w:hAnsi="宋体" w:cs="宋体"/>
          <w:b/>
          <w:bCs/>
          <w:sz w:val="44"/>
          <w:szCs w:val="44"/>
          <w:lang w:val="en-US" w:eastAsia="zh-CN"/>
        </w:rPr>
        <w:t>项目名称：</w:t>
      </w:r>
      <w:r>
        <w:rPr>
          <w:rFonts w:hint="eastAsia" w:ascii="宋体" w:hAnsi="宋体" w:eastAsia="宋体" w:cs="宋体"/>
          <w:b/>
          <w:bCs/>
          <w:sz w:val="44"/>
          <w:szCs w:val="44"/>
          <w:lang w:eastAsia="zh-CN"/>
        </w:rPr>
        <w:t>碳13呼气检测仪</w:t>
      </w:r>
    </w:p>
    <w:p w14:paraId="78E4D448">
      <w:pPr>
        <w:jc w:val="center"/>
        <w:rPr>
          <w:rFonts w:ascii="Times New Roman" w:hAnsi="Times New Roman" w:eastAsia="宋体" w:cs="Times New Roman"/>
          <w:b/>
          <w:sz w:val="44"/>
          <w:szCs w:val="44"/>
        </w:rPr>
      </w:pPr>
    </w:p>
    <w:p w14:paraId="03D0417C">
      <w:pPr>
        <w:jc w:val="center"/>
        <w:rPr>
          <w:rFonts w:ascii="Times New Roman" w:hAnsi="Times New Roman" w:eastAsia="宋体" w:cs="Times New Roman"/>
          <w:b/>
          <w:sz w:val="44"/>
          <w:szCs w:val="44"/>
        </w:rPr>
      </w:pPr>
    </w:p>
    <w:p w14:paraId="38ACDE5E">
      <w:pPr>
        <w:jc w:val="center"/>
        <w:rPr>
          <w:rFonts w:ascii="Times New Roman" w:hAnsi="Times New Roman" w:eastAsia="宋体" w:cs="Times New Roman"/>
          <w:b/>
          <w:sz w:val="44"/>
          <w:szCs w:val="44"/>
        </w:rPr>
      </w:pPr>
    </w:p>
    <w:p w14:paraId="41D1B2D0">
      <w:pPr>
        <w:jc w:val="center"/>
        <w:rPr>
          <w:rFonts w:ascii="Times New Roman" w:hAnsi="Times New Roman" w:eastAsia="宋体" w:cs="Times New Roman"/>
          <w:b/>
          <w:sz w:val="44"/>
          <w:szCs w:val="44"/>
        </w:rPr>
      </w:pPr>
    </w:p>
    <w:p w14:paraId="7254869E">
      <w:pPr>
        <w:jc w:val="center"/>
        <w:rPr>
          <w:rFonts w:ascii="Times New Roman" w:hAnsi="Times New Roman" w:eastAsia="宋体" w:cs="Times New Roman"/>
          <w:b/>
          <w:sz w:val="44"/>
          <w:szCs w:val="44"/>
        </w:rPr>
      </w:pPr>
    </w:p>
    <w:p w14:paraId="1AE49C24">
      <w:pPr>
        <w:jc w:val="center"/>
        <w:rPr>
          <w:rFonts w:ascii="Times New Roman" w:hAnsi="Times New Roman" w:eastAsia="宋体" w:cs="Times New Roman"/>
          <w:b/>
          <w:sz w:val="44"/>
          <w:szCs w:val="44"/>
        </w:rPr>
      </w:pPr>
    </w:p>
    <w:p w14:paraId="49823A16">
      <w:pPr>
        <w:jc w:val="center"/>
        <w:rPr>
          <w:rFonts w:ascii="Times New Roman" w:hAnsi="Times New Roman" w:eastAsia="宋体" w:cs="Times New Roman"/>
          <w:b/>
          <w:sz w:val="44"/>
          <w:szCs w:val="44"/>
        </w:rPr>
      </w:pPr>
    </w:p>
    <w:p w14:paraId="314489C9">
      <w:pPr>
        <w:jc w:val="center"/>
        <w:rPr>
          <w:rFonts w:ascii="Times New Roman" w:hAnsi="Times New Roman" w:eastAsia="宋体" w:cs="Times New Roman"/>
          <w:b/>
          <w:sz w:val="44"/>
          <w:szCs w:val="44"/>
        </w:rPr>
      </w:pPr>
    </w:p>
    <w:p w14:paraId="6D81C634">
      <w:pPr>
        <w:keepNext/>
        <w:keepLines/>
        <w:widowControl w:val="0"/>
        <w:bidi w:val="0"/>
        <w:snapToGrid w:val="0"/>
        <w:spacing w:line="360" w:lineRule="auto"/>
        <w:jc w:val="center"/>
        <w:outlineLvl w:val="0"/>
        <w:rPr>
          <w:rFonts w:hint="eastAsia" w:ascii="Times New Roman" w:hAnsi="Times New Roman" w:eastAsia="宋体" w:cs="Times New Roman"/>
          <w:b/>
          <w:bCs/>
          <w:kern w:val="44"/>
          <w:sz w:val="44"/>
          <w:szCs w:val="44"/>
          <w:lang w:val="en-US" w:eastAsia="zh-CN" w:bidi="ar-SA"/>
        </w:rPr>
      </w:pPr>
      <w:bookmarkStart w:id="0" w:name="_Toc12373"/>
      <w:bookmarkStart w:id="1" w:name="_Toc11970"/>
      <w:bookmarkStart w:id="2" w:name="_Toc264"/>
      <w:r>
        <w:rPr>
          <w:rFonts w:hint="eastAsia" w:ascii="Times New Roman" w:hAnsi="Times New Roman" w:eastAsia="宋体" w:cs="Times New Roman"/>
          <w:b/>
          <w:bCs/>
          <w:kern w:val="44"/>
          <w:sz w:val="44"/>
          <w:szCs w:val="44"/>
          <w:lang w:val="en-US" w:eastAsia="zh-CN" w:bidi="ar-SA"/>
        </w:rPr>
        <w:t>深圳市新华医院</w:t>
      </w:r>
      <w:bookmarkEnd w:id="0"/>
      <w:bookmarkEnd w:id="1"/>
      <w:bookmarkEnd w:id="2"/>
    </w:p>
    <w:p w14:paraId="5A0D6CF1">
      <w:pPr>
        <w:keepNext/>
        <w:keepLines/>
        <w:widowControl w:val="0"/>
        <w:bidi w:val="0"/>
        <w:snapToGrid w:val="0"/>
        <w:spacing w:line="360" w:lineRule="auto"/>
        <w:jc w:val="center"/>
        <w:outlineLvl w:val="0"/>
        <w:rPr>
          <w:rFonts w:hint="eastAsia" w:ascii="Times New Roman" w:hAnsi="Times New Roman" w:eastAsia="宋体" w:cs="Times New Roman"/>
          <w:b/>
          <w:bCs/>
          <w:kern w:val="44"/>
          <w:sz w:val="44"/>
          <w:szCs w:val="44"/>
          <w:lang w:val="en-US" w:eastAsia="zh-CN" w:bidi="ar-SA"/>
        </w:rPr>
      </w:pPr>
      <w:r>
        <w:rPr>
          <w:rFonts w:hint="eastAsia" w:ascii="Times New Roman" w:hAnsi="Times New Roman" w:eastAsia="宋体" w:cs="Times New Roman"/>
          <w:b/>
          <w:bCs/>
          <w:kern w:val="44"/>
          <w:sz w:val="44"/>
          <w:szCs w:val="44"/>
          <w:lang w:val="en-US" w:eastAsia="zh-CN" w:bidi="ar-SA"/>
        </w:rPr>
        <w:t>二零二六年六月</w:t>
      </w:r>
    </w:p>
    <w:p w14:paraId="7A3CFFCD">
      <w:pPr>
        <w:rPr>
          <w:rFonts w:asciiTheme="minorEastAsia" w:hAnsiTheme="minorEastAsia" w:eastAsiaTheme="minorEastAsia"/>
          <w:b/>
          <w:sz w:val="24"/>
          <w:szCs w:val="24"/>
        </w:rPr>
        <w:sectPr>
          <w:footerReference r:id="rId4" w:type="default"/>
          <w:headerReference r:id="rId3" w:type="even"/>
          <w:pgSz w:w="11906" w:h="16838"/>
          <w:pgMar w:top="1701" w:right="1588" w:bottom="1304" w:left="1588" w:header="1247" w:footer="737" w:gutter="0"/>
          <w:cols w:space="425" w:num="1"/>
          <w:docGrid w:linePitch="380" w:charSpace="-4301"/>
        </w:sectPr>
      </w:pPr>
    </w:p>
    <w:p w14:paraId="4AE11CF7">
      <w:pPr>
        <w:pStyle w:val="4"/>
        <w:bidi w:val="0"/>
        <w:rPr>
          <w:rFonts w:hint="eastAsia" w:ascii="Times New Roman" w:hAnsi="Times New Roman" w:eastAsia="宋体" w:cs="Times New Roman"/>
          <w:lang w:eastAsia="zh-CN"/>
        </w:rPr>
      </w:pPr>
      <w:bookmarkStart w:id="3" w:name="_Toc18481"/>
      <w:bookmarkStart w:id="4" w:name="_Toc8112"/>
      <w:bookmarkStart w:id="5" w:name="_Toc1613"/>
      <w:r>
        <w:rPr>
          <w:rFonts w:hint="eastAsia" w:ascii="Times New Roman" w:hAnsi="Times New Roman" w:eastAsia="宋体" w:cs="Times New Roman"/>
          <w:lang w:val="en-US" w:eastAsia="zh-CN"/>
        </w:rPr>
        <w:t>一、</w:t>
      </w:r>
      <w:r>
        <w:rPr>
          <w:rFonts w:hint="eastAsia" w:ascii="Times New Roman" w:hAnsi="Times New Roman" w:eastAsia="宋体" w:cs="Times New Roman"/>
          <w:lang w:eastAsia="zh-CN"/>
        </w:rPr>
        <w:t>评标信息</w:t>
      </w:r>
    </w:p>
    <w:p w14:paraId="2A50A757">
      <w:pPr>
        <w:keepNext w:val="0"/>
        <w:keepLines w:val="0"/>
        <w:pageBreakBefore w:val="0"/>
        <w:widowControl w:val="0"/>
        <w:kinsoku/>
        <w:wordWrap/>
        <w:overflowPunct/>
        <w:topLinePunct w:val="0"/>
        <w:autoSpaceDE/>
        <w:autoSpaceDN/>
        <w:bidi w:val="0"/>
        <w:adjustRightInd/>
        <w:snapToGrid w:val="0"/>
        <w:spacing w:line="240" w:lineRule="auto"/>
        <w:ind w:firstLine="480" w:firstLineChars="200"/>
        <w:textAlignment w:val="auto"/>
        <w:rPr>
          <w:rFonts w:hint="eastAsia" w:ascii="宋体" w:hAnsi="宋体"/>
          <w:sz w:val="24"/>
          <w:szCs w:val="24"/>
        </w:rPr>
      </w:pPr>
      <w:r>
        <w:rPr>
          <w:rFonts w:hint="eastAsia" w:asciiTheme="minorEastAsia" w:hAnsiTheme="minorEastAsia" w:eastAsiaTheme="minorEastAsia"/>
          <w:sz w:val="24"/>
          <w:szCs w:val="24"/>
        </w:rPr>
        <w:t>价格分计算</w:t>
      </w:r>
      <w:r>
        <w:rPr>
          <w:rFonts w:hint="eastAsia" w:asciiTheme="minorEastAsia" w:hAnsiTheme="minorEastAsia" w:eastAsiaTheme="minorEastAsia"/>
          <w:sz w:val="24"/>
          <w:szCs w:val="24"/>
          <w:lang w:eastAsia="zh-CN"/>
        </w:rPr>
        <w:t>（每个供应商可进行两次报价，以第二次报价为最终报价）</w:t>
      </w:r>
      <w:r>
        <w:rPr>
          <w:rFonts w:hint="eastAsia" w:asciiTheme="minorEastAsia" w:hAnsiTheme="minorEastAsia" w:eastAsiaTheme="minorEastAsia"/>
          <w:sz w:val="24"/>
          <w:szCs w:val="24"/>
        </w:rPr>
        <w:t>：</w:t>
      </w:r>
      <w:r>
        <w:rPr>
          <w:rFonts w:hint="eastAsia" w:ascii="宋体" w:hAnsi="宋体"/>
          <w:sz w:val="24"/>
          <w:szCs w:val="24"/>
        </w:rPr>
        <w:t>价格分应当采用低价优先法计算，即满足文件要求且投标价格最低的投标报价为评标基准价，其价格分为满分。其他投标人的价格分统一按照下列公式计算：</w:t>
      </w:r>
    </w:p>
    <w:p w14:paraId="1F6AB68C">
      <w:pPr>
        <w:keepNext w:val="0"/>
        <w:keepLines w:val="0"/>
        <w:pageBreakBefore w:val="0"/>
        <w:widowControl w:val="0"/>
        <w:kinsoku/>
        <w:wordWrap/>
        <w:overflowPunct/>
        <w:topLinePunct w:val="0"/>
        <w:autoSpaceDE/>
        <w:autoSpaceDN/>
        <w:bidi w:val="0"/>
        <w:adjustRightInd/>
        <w:snapToGrid w:val="0"/>
        <w:spacing w:line="240" w:lineRule="auto"/>
        <w:ind w:firstLine="480" w:firstLineChars="200"/>
        <w:textAlignment w:val="auto"/>
        <w:rPr>
          <w:rFonts w:hint="eastAsia" w:ascii="宋体" w:hAnsi="宋体" w:eastAsia="宋体"/>
          <w:sz w:val="24"/>
          <w:szCs w:val="24"/>
          <w:lang w:eastAsia="zh-CN"/>
        </w:rPr>
      </w:pPr>
      <w:r>
        <w:rPr>
          <w:rFonts w:hint="eastAsia" w:ascii="宋体" w:hAnsi="宋体"/>
          <w:sz w:val="24"/>
          <w:szCs w:val="24"/>
        </w:rPr>
        <w:t>投标报价得分=</w:t>
      </w:r>
      <w:r>
        <w:rPr>
          <w:rFonts w:hint="eastAsia" w:ascii="宋体" w:hAnsi="宋体"/>
          <w:sz w:val="24"/>
          <w:szCs w:val="24"/>
          <w:lang w:eastAsia="zh-CN"/>
        </w:rPr>
        <w:t>（</w:t>
      </w:r>
      <w:r>
        <w:rPr>
          <w:rFonts w:hint="eastAsia" w:ascii="宋体" w:hAnsi="宋体"/>
          <w:sz w:val="24"/>
          <w:szCs w:val="24"/>
        </w:rPr>
        <w:t>评标基准价／投标报价</w:t>
      </w:r>
      <w:r>
        <w:rPr>
          <w:rFonts w:hint="eastAsia" w:ascii="宋体" w:hAnsi="宋体"/>
          <w:sz w:val="24"/>
          <w:szCs w:val="24"/>
          <w:lang w:eastAsia="zh-CN"/>
        </w:rPr>
        <w:t>）</w:t>
      </w:r>
      <w:r>
        <w:rPr>
          <w:rFonts w:hint="eastAsia" w:ascii="宋体" w:hAnsi="宋体"/>
          <w:sz w:val="24"/>
          <w:szCs w:val="24"/>
        </w:rPr>
        <w:t>×权重</w:t>
      </w:r>
      <w:r>
        <w:rPr>
          <w:rFonts w:hint="eastAsia" w:ascii="宋体" w:hAnsi="宋体"/>
          <w:sz w:val="24"/>
          <w:szCs w:val="24"/>
          <w:lang w:eastAsia="zh-CN"/>
        </w:rPr>
        <w:t>分</w:t>
      </w:r>
    </w:p>
    <w:p w14:paraId="4297D78B">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Theme="minorEastAsia" w:hAnsiTheme="minorEastAsia" w:eastAsiaTheme="minorEastAsia"/>
          <w:sz w:val="24"/>
          <w:szCs w:val="24"/>
        </w:rPr>
      </w:pPr>
      <w:r>
        <w:rPr>
          <w:rFonts w:hint="eastAsia" w:ascii="宋体" w:hAnsi="宋体"/>
          <w:sz w:val="24"/>
          <w:szCs w:val="24"/>
        </w:rPr>
        <w:t>备注：投标报价得分四舍五入后，小数点后保留两位有效数；</w:t>
      </w:r>
    </w:p>
    <w:p w14:paraId="249A23AE">
      <w:pPr>
        <w:keepNext w:val="0"/>
        <w:keepLines w:val="0"/>
        <w:pageBreakBefore w:val="0"/>
        <w:widowControl/>
        <w:kinsoku/>
        <w:wordWrap/>
        <w:overflowPunct/>
        <w:topLinePunct w:val="0"/>
        <w:autoSpaceDE/>
        <w:autoSpaceDN/>
        <w:bidi w:val="0"/>
        <w:adjustRightInd/>
        <w:snapToGrid w:val="0"/>
        <w:spacing w:line="240" w:lineRule="auto"/>
        <w:ind w:firstLine="480" w:firstLineChars="200"/>
        <w:jc w:val="left"/>
        <w:textAlignment w:val="baseline"/>
        <w:rPr>
          <w:rFonts w:asciiTheme="minorEastAsia" w:hAnsiTheme="minorEastAsia" w:eastAsiaTheme="minorEastAsia"/>
          <w:sz w:val="24"/>
          <w:szCs w:val="24"/>
        </w:rPr>
      </w:pPr>
      <w:r>
        <w:rPr>
          <w:rFonts w:hint="eastAsia" w:ascii="宋体" w:hAnsi="宋体"/>
          <w:sz w:val="24"/>
          <w:szCs w:val="24"/>
        </w:rPr>
        <w:t>评标基准价</w:t>
      </w:r>
      <w:r>
        <w:rPr>
          <w:rFonts w:hint="eastAsia" w:asciiTheme="minorEastAsia" w:hAnsiTheme="minorEastAsia" w:eastAsiaTheme="minorEastAsia"/>
          <w:sz w:val="24"/>
          <w:szCs w:val="24"/>
        </w:rPr>
        <w:t>是指所有有效报价中最低的投标报价</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b/>
          <w:bCs/>
          <w:color w:val="FF0000"/>
          <w:sz w:val="24"/>
          <w:szCs w:val="24"/>
          <w:lang w:val="en-US" w:eastAsia="zh-CN"/>
        </w:rPr>
        <w:t>注：</w:t>
      </w:r>
      <w:r>
        <w:rPr>
          <w:rFonts w:hint="eastAsia" w:asciiTheme="minorEastAsia" w:hAnsiTheme="minorEastAsia" w:eastAsiaTheme="minorEastAsia"/>
          <w:b/>
          <w:bCs/>
          <w:color w:val="FF0000"/>
          <w:sz w:val="24"/>
          <w:szCs w:val="24"/>
        </w:rPr>
        <w:t>投标人的报价明显低于其他投标人的报价，有可能影响产品质量或者不能诚信履约的，应在评标现场提供书面说明和相关证明材料；不能证明其报价合理性的，将其作为无效投标处理</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rPr>
        <w:t>。</w:t>
      </w:r>
    </w:p>
    <w:p w14:paraId="4A8B6C6F">
      <w:pPr>
        <w:keepNext w:val="0"/>
        <w:keepLines w:val="0"/>
        <w:pageBreakBefore w:val="0"/>
        <w:kinsoku/>
        <w:wordWrap/>
        <w:overflowPunct/>
        <w:topLinePunct w:val="0"/>
        <w:autoSpaceDE/>
        <w:autoSpaceDN/>
        <w:bidi w:val="0"/>
        <w:adjustRightInd/>
        <w:snapToGrid w:val="0"/>
        <w:spacing w:line="24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评审委员会在评标时，应按照以下量化的评审因素，对各投标文件进行分析和比较：</w:t>
      </w:r>
    </w:p>
    <w:p w14:paraId="4E8AF97E">
      <w:pPr>
        <w:pStyle w:val="4"/>
        <w:bidi w:val="0"/>
        <w:rPr>
          <w:rFonts w:hint="eastAsia" w:asciiTheme="minorEastAsia" w:hAnsiTheme="minorEastAsia" w:eastAsiaTheme="minorEastAsia"/>
          <w:b/>
          <w:sz w:val="24"/>
          <w:szCs w:val="24"/>
        </w:rPr>
      </w:pPr>
      <w:r>
        <w:rPr>
          <w:rFonts w:hint="eastAsia"/>
          <w:lang w:eastAsia="zh-CN"/>
        </w:rPr>
        <w:t>（</w:t>
      </w:r>
      <w:r>
        <w:rPr>
          <w:rFonts w:hint="eastAsia"/>
          <w:lang w:val="en-US" w:eastAsia="zh-CN"/>
        </w:rPr>
        <w:t>一</w:t>
      </w:r>
      <w:r>
        <w:rPr>
          <w:rFonts w:hint="eastAsia"/>
          <w:lang w:eastAsia="zh-CN"/>
        </w:rPr>
        <w:t>）</w:t>
      </w:r>
      <w:r>
        <w:rPr>
          <w:rFonts w:hint="eastAsia"/>
        </w:rPr>
        <w:t>技术评价（</w:t>
      </w:r>
      <w:r>
        <w:rPr>
          <w:rFonts w:hint="eastAsia"/>
          <w:u w:val="single"/>
          <w:lang w:val="en-US" w:eastAsia="zh-CN"/>
        </w:rPr>
        <w:t>59</w:t>
      </w:r>
      <w:r>
        <w:rPr>
          <w:rFonts w:hint="eastAsia"/>
        </w:rPr>
        <w:t>分）：</w:t>
      </w:r>
      <w:bookmarkEnd w:id="3"/>
      <w:bookmarkEnd w:id="4"/>
      <w:bookmarkEnd w:id="5"/>
    </w:p>
    <w:tbl>
      <w:tblPr>
        <w:tblStyle w:val="16"/>
        <w:tblW w:w="96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1570"/>
        <w:gridCol w:w="804"/>
        <w:gridCol w:w="1096"/>
        <w:gridCol w:w="5490"/>
      </w:tblGrid>
      <w:tr w14:paraId="7ED44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666" w:type="dxa"/>
            <w:noWrap w:val="0"/>
            <w:vAlign w:val="center"/>
          </w:tcPr>
          <w:p w14:paraId="2778EF1C">
            <w:pPr>
              <w:pStyle w:val="5"/>
              <w:ind w:firstLine="0"/>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序号</w:t>
            </w:r>
          </w:p>
        </w:tc>
        <w:tc>
          <w:tcPr>
            <w:tcW w:w="1570" w:type="dxa"/>
            <w:noWrap w:val="0"/>
            <w:vAlign w:val="center"/>
          </w:tcPr>
          <w:p w14:paraId="4755499B">
            <w:pPr>
              <w:pStyle w:val="5"/>
              <w:ind w:firstLine="0"/>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评审因素</w:t>
            </w:r>
          </w:p>
        </w:tc>
        <w:tc>
          <w:tcPr>
            <w:tcW w:w="804" w:type="dxa"/>
            <w:noWrap w:val="0"/>
            <w:vAlign w:val="center"/>
          </w:tcPr>
          <w:p w14:paraId="6E00EFB1">
            <w:pPr>
              <w:pStyle w:val="5"/>
              <w:ind w:firstLine="0"/>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分值</w:t>
            </w:r>
          </w:p>
          <w:p w14:paraId="2DCD367E">
            <w:pPr>
              <w:pStyle w:val="5"/>
              <w:ind w:firstLine="0"/>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（分）</w:t>
            </w:r>
          </w:p>
        </w:tc>
        <w:tc>
          <w:tcPr>
            <w:tcW w:w="1096" w:type="dxa"/>
            <w:noWrap w:val="0"/>
            <w:vAlign w:val="center"/>
          </w:tcPr>
          <w:p w14:paraId="1754DD20">
            <w:pPr>
              <w:pStyle w:val="5"/>
              <w:ind w:firstLine="0"/>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评分方式</w:t>
            </w:r>
          </w:p>
        </w:tc>
        <w:tc>
          <w:tcPr>
            <w:tcW w:w="5490" w:type="dxa"/>
            <w:noWrap w:val="0"/>
            <w:vAlign w:val="center"/>
          </w:tcPr>
          <w:p w14:paraId="2BD72EBB">
            <w:pPr>
              <w:pStyle w:val="5"/>
              <w:ind w:firstLine="0"/>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评分准则</w:t>
            </w:r>
          </w:p>
        </w:tc>
      </w:tr>
      <w:tr w14:paraId="068D1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2" w:hRule="atLeast"/>
        </w:trPr>
        <w:tc>
          <w:tcPr>
            <w:tcW w:w="666" w:type="dxa"/>
            <w:noWrap w:val="0"/>
            <w:vAlign w:val="center"/>
          </w:tcPr>
          <w:p w14:paraId="366E5350">
            <w:pPr>
              <w:widowControl/>
              <w:jc w:val="center"/>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val="en-US" w:eastAsia="zh-CN"/>
              </w:rPr>
              <w:t>1</w:t>
            </w:r>
          </w:p>
        </w:tc>
        <w:tc>
          <w:tcPr>
            <w:tcW w:w="1570" w:type="dxa"/>
            <w:noWrap w:val="0"/>
            <w:vAlign w:val="center"/>
          </w:tcPr>
          <w:p w14:paraId="0622CCE0">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所投产品技术参数响应情况评价</w:t>
            </w:r>
          </w:p>
        </w:tc>
        <w:tc>
          <w:tcPr>
            <w:tcW w:w="804" w:type="dxa"/>
            <w:noWrap w:val="0"/>
            <w:vAlign w:val="center"/>
          </w:tcPr>
          <w:p w14:paraId="64CFDC6B">
            <w:pPr>
              <w:jc w:val="center"/>
              <w:rPr>
                <w:rFonts w:hint="eastAsia" w:ascii="宋体" w:hAnsi="宋体" w:eastAsia="宋体" w:cs="宋体"/>
                <w:color w:val="000000"/>
                <w:sz w:val="21"/>
                <w:szCs w:val="21"/>
              </w:rPr>
            </w:pPr>
            <w:r>
              <w:rPr>
                <w:rFonts w:hint="eastAsia" w:ascii="宋体" w:hAnsi="宋体" w:cs="宋体"/>
                <w:color w:val="000000"/>
                <w:sz w:val="21"/>
                <w:szCs w:val="21"/>
                <w:u w:val="single"/>
                <w:lang w:val="en-US" w:eastAsia="zh-CN"/>
              </w:rPr>
              <w:t>51</w:t>
            </w:r>
            <w:r>
              <w:rPr>
                <w:rFonts w:hint="eastAsia" w:ascii="宋体" w:hAnsi="宋体" w:eastAsia="宋体" w:cs="宋体"/>
                <w:color w:val="000000"/>
                <w:sz w:val="21"/>
                <w:szCs w:val="21"/>
              </w:rPr>
              <w:t>分</w:t>
            </w:r>
          </w:p>
        </w:tc>
        <w:tc>
          <w:tcPr>
            <w:tcW w:w="1096" w:type="dxa"/>
            <w:noWrap w:val="0"/>
            <w:vAlign w:val="center"/>
          </w:tcPr>
          <w:p w14:paraId="6049B7C9">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专家打分</w:t>
            </w:r>
          </w:p>
        </w:tc>
        <w:tc>
          <w:tcPr>
            <w:tcW w:w="5490" w:type="dxa"/>
            <w:noWrap w:val="0"/>
            <w:vAlign w:val="center"/>
          </w:tcPr>
          <w:p w14:paraId="212016B7">
            <w:pPr>
              <w:pStyle w:val="5"/>
              <w:keepNext w:val="0"/>
              <w:keepLines w:val="0"/>
              <w:pageBreakBefore w:val="0"/>
              <w:widowControl w:val="0"/>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投标人应根据用户需求中的</w:t>
            </w:r>
            <w:r>
              <w:rPr>
                <w:rFonts w:hint="eastAsia" w:ascii="宋体" w:hAnsi="宋体" w:eastAsia="宋体" w:cs="宋体"/>
                <w:b/>
                <w:bCs/>
                <w:color w:val="000000"/>
                <w:sz w:val="21"/>
                <w:szCs w:val="21"/>
                <w:u w:val="single"/>
              </w:rPr>
              <w:t>“</w:t>
            </w:r>
            <w:r>
              <w:rPr>
                <w:rFonts w:hint="eastAsia" w:ascii="宋体" w:hAnsi="宋体" w:eastAsia="宋体" w:cs="宋体"/>
                <w:b/>
                <w:bCs/>
                <w:color w:val="000000"/>
                <w:sz w:val="21"/>
                <w:szCs w:val="21"/>
                <w:u w:val="single"/>
                <w:lang w:val="en-US" w:eastAsia="zh-CN"/>
              </w:rPr>
              <w:t>三、具体</w:t>
            </w:r>
            <w:r>
              <w:rPr>
                <w:rFonts w:hint="eastAsia" w:ascii="宋体" w:hAnsi="宋体" w:eastAsia="宋体" w:cs="宋体"/>
                <w:b/>
                <w:bCs/>
                <w:color w:val="000000"/>
                <w:sz w:val="21"/>
                <w:szCs w:val="21"/>
                <w:u w:val="single"/>
              </w:rPr>
              <w:t>技术要求”</w:t>
            </w:r>
            <w:r>
              <w:rPr>
                <w:rFonts w:hint="eastAsia" w:ascii="宋体" w:hAnsi="宋体" w:eastAsia="宋体" w:cs="宋体"/>
                <w:color w:val="000000"/>
                <w:sz w:val="21"/>
                <w:szCs w:val="21"/>
              </w:rPr>
              <w:t>如实填写，以《技术</w:t>
            </w:r>
            <w:r>
              <w:rPr>
                <w:rFonts w:hint="eastAsia" w:ascii="宋体" w:hAnsi="宋体" w:eastAsia="宋体" w:cs="宋体"/>
                <w:color w:val="000000"/>
                <w:sz w:val="21"/>
                <w:szCs w:val="21"/>
                <w:lang w:val="en-US" w:eastAsia="zh-CN"/>
              </w:rPr>
              <w:t>规格</w:t>
            </w:r>
            <w:r>
              <w:rPr>
                <w:rFonts w:hint="eastAsia" w:ascii="宋体" w:hAnsi="宋体" w:eastAsia="宋体" w:cs="宋体"/>
                <w:color w:val="000000"/>
                <w:sz w:val="21"/>
                <w:szCs w:val="21"/>
              </w:rPr>
              <w:t>偏离表》为评审依据，所投产品重要技术参数（带“▲”）全部满足得</w:t>
            </w:r>
            <w:r>
              <w:rPr>
                <w:rFonts w:hint="eastAsia" w:ascii="宋体" w:hAnsi="宋体" w:cs="宋体"/>
                <w:color w:val="000000"/>
                <w:sz w:val="21"/>
                <w:szCs w:val="21"/>
                <w:u w:val="single"/>
                <w:lang w:val="en-US" w:eastAsia="zh-CN"/>
              </w:rPr>
              <w:t>28.5</w:t>
            </w:r>
            <w:r>
              <w:rPr>
                <w:rFonts w:hint="eastAsia" w:ascii="宋体" w:hAnsi="宋体" w:eastAsia="宋体" w:cs="宋体"/>
                <w:color w:val="000000"/>
                <w:sz w:val="21"/>
                <w:szCs w:val="21"/>
              </w:rPr>
              <w:t>分；有负偏离的，每负偏离一项扣</w:t>
            </w:r>
            <w:r>
              <w:rPr>
                <w:rFonts w:hint="eastAsia" w:ascii="宋体" w:hAnsi="宋体" w:cs="宋体"/>
                <w:color w:val="000000"/>
                <w:sz w:val="21"/>
                <w:szCs w:val="21"/>
                <w:u w:val="single"/>
                <w:lang w:val="en-US" w:eastAsia="zh-CN"/>
              </w:rPr>
              <w:t>9.5</w:t>
            </w:r>
            <w:r>
              <w:rPr>
                <w:rFonts w:hint="eastAsia" w:ascii="宋体" w:hAnsi="宋体" w:eastAsia="宋体" w:cs="宋体"/>
                <w:color w:val="000000"/>
                <w:sz w:val="21"/>
                <w:szCs w:val="21"/>
              </w:rPr>
              <w:t>分，扣完为止。所投产品一般技术参数（不带“▲”）全部满足得</w:t>
            </w:r>
            <w:r>
              <w:rPr>
                <w:rFonts w:hint="eastAsia" w:ascii="宋体" w:hAnsi="宋体" w:cs="宋体"/>
                <w:color w:val="000000"/>
                <w:sz w:val="21"/>
                <w:szCs w:val="21"/>
                <w:u w:val="single"/>
                <w:lang w:val="en-US" w:eastAsia="zh-CN"/>
              </w:rPr>
              <w:t>22.5</w:t>
            </w:r>
            <w:r>
              <w:rPr>
                <w:rFonts w:hint="eastAsia" w:ascii="宋体" w:hAnsi="宋体" w:eastAsia="宋体" w:cs="宋体"/>
                <w:color w:val="000000"/>
                <w:sz w:val="21"/>
                <w:szCs w:val="21"/>
              </w:rPr>
              <w:t>分；有负偏离的，每负偏离一项最多扣</w:t>
            </w:r>
            <w:r>
              <w:rPr>
                <w:rFonts w:hint="eastAsia" w:ascii="宋体" w:hAnsi="宋体" w:cs="宋体"/>
                <w:color w:val="000000"/>
                <w:sz w:val="21"/>
                <w:szCs w:val="21"/>
                <w:u w:val="single"/>
                <w:lang w:val="en-US" w:eastAsia="zh-CN"/>
              </w:rPr>
              <w:t>2.5</w:t>
            </w:r>
            <w:r>
              <w:rPr>
                <w:rFonts w:hint="eastAsia" w:ascii="宋体" w:hAnsi="宋体" w:eastAsia="宋体" w:cs="宋体"/>
                <w:color w:val="000000"/>
                <w:sz w:val="21"/>
                <w:szCs w:val="21"/>
              </w:rPr>
              <w:t>分，扣完为止。</w:t>
            </w:r>
          </w:p>
          <w:p w14:paraId="16FD3052">
            <w:pPr>
              <w:pStyle w:val="6"/>
              <w:jc w:val="both"/>
              <w:rPr>
                <w:rFonts w:hint="eastAsia"/>
              </w:rPr>
            </w:pPr>
          </w:p>
          <w:p w14:paraId="41CBCB62">
            <w:pPr>
              <w:pStyle w:val="5"/>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宋体" w:hAnsi="宋体" w:eastAsia="宋体" w:cs="宋体"/>
                <w:snapToGrid w:val="0"/>
                <w:color w:val="000000"/>
                <w:kern w:val="0"/>
                <w:sz w:val="21"/>
                <w:szCs w:val="21"/>
              </w:rPr>
            </w:pPr>
            <w:r>
              <w:rPr>
                <w:rFonts w:hint="eastAsia" w:ascii="宋体" w:hAnsi="宋体" w:eastAsia="宋体" w:cs="宋体"/>
                <w:b/>
                <w:bCs/>
                <w:color w:val="000000"/>
                <w:kern w:val="0"/>
                <w:sz w:val="21"/>
                <w:szCs w:val="21"/>
              </w:rPr>
              <w:t>备注：</w:t>
            </w:r>
          </w:p>
          <w:p w14:paraId="6BD69C26">
            <w:pPr>
              <w:pStyle w:val="5"/>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宋体" w:hAnsi="宋体" w:eastAsia="宋体" w:cs="宋体"/>
                <w:snapToGrid w:val="0"/>
                <w:kern w:val="0"/>
                <w:sz w:val="21"/>
                <w:szCs w:val="21"/>
              </w:rPr>
            </w:pPr>
            <w:r>
              <w:rPr>
                <w:rFonts w:hint="eastAsia" w:ascii="宋体" w:hAnsi="宋体" w:eastAsia="宋体" w:cs="宋体"/>
                <w:kern w:val="0"/>
                <w:sz w:val="21"/>
                <w:szCs w:val="21"/>
              </w:rPr>
              <w:t>（1）投标人</w:t>
            </w:r>
            <w:r>
              <w:rPr>
                <w:rFonts w:hint="eastAsia" w:ascii="宋体" w:hAnsi="宋体" w:eastAsia="宋体" w:cs="宋体"/>
                <w:kern w:val="0"/>
                <w:sz w:val="21"/>
                <w:szCs w:val="21"/>
                <w:lang w:val="en-US" w:eastAsia="zh-CN"/>
              </w:rPr>
              <w:t>根据</w:t>
            </w:r>
            <w:r>
              <w:rPr>
                <w:rFonts w:hint="eastAsia" w:ascii="宋体" w:hAnsi="宋体" w:eastAsia="宋体" w:cs="宋体"/>
                <w:b/>
                <w:bCs/>
                <w:color w:val="000000"/>
                <w:sz w:val="21"/>
                <w:szCs w:val="21"/>
                <w:u w:val="single"/>
              </w:rPr>
              <w:t>“三、</w:t>
            </w:r>
            <w:r>
              <w:rPr>
                <w:rFonts w:hint="eastAsia" w:ascii="宋体" w:hAnsi="宋体" w:eastAsia="宋体" w:cs="宋体"/>
                <w:b/>
                <w:bCs/>
                <w:color w:val="000000"/>
                <w:sz w:val="21"/>
                <w:szCs w:val="21"/>
                <w:u w:val="single"/>
                <w:lang w:val="en-US" w:eastAsia="zh-CN"/>
              </w:rPr>
              <w:t>具体技术</w:t>
            </w:r>
            <w:r>
              <w:rPr>
                <w:rFonts w:hint="eastAsia" w:ascii="宋体" w:hAnsi="宋体" w:cs="宋体"/>
                <w:b/>
                <w:bCs/>
                <w:color w:val="000000"/>
                <w:sz w:val="21"/>
                <w:szCs w:val="21"/>
                <w:u w:val="single"/>
                <w:lang w:val="en-US" w:eastAsia="zh-CN"/>
              </w:rPr>
              <w:t>要</w:t>
            </w:r>
            <w:r>
              <w:rPr>
                <w:rFonts w:hint="eastAsia" w:ascii="宋体" w:hAnsi="宋体" w:eastAsia="宋体" w:cs="宋体"/>
                <w:b/>
                <w:bCs/>
                <w:color w:val="000000"/>
                <w:sz w:val="21"/>
                <w:szCs w:val="21"/>
                <w:u w:val="single"/>
                <w:lang w:val="en-US" w:eastAsia="zh-CN"/>
              </w:rPr>
              <w:t>求</w:t>
            </w:r>
            <w:r>
              <w:rPr>
                <w:rFonts w:hint="eastAsia" w:ascii="宋体" w:hAnsi="宋体" w:eastAsia="宋体" w:cs="宋体"/>
                <w:b/>
                <w:bCs/>
                <w:color w:val="000000"/>
                <w:sz w:val="21"/>
                <w:szCs w:val="21"/>
                <w:u w:val="single"/>
              </w:rPr>
              <w:t>”</w:t>
            </w:r>
            <w:r>
              <w:rPr>
                <w:rFonts w:hint="eastAsia" w:ascii="宋体" w:hAnsi="宋体" w:eastAsia="宋体" w:cs="宋体"/>
                <w:kern w:val="0"/>
                <w:sz w:val="21"/>
                <w:szCs w:val="21"/>
              </w:rPr>
              <w:t>提供</w:t>
            </w:r>
            <w:r>
              <w:rPr>
                <w:rFonts w:hint="eastAsia" w:ascii="宋体" w:hAnsi="宋体" w:eastAsia="宋体" w:cs="宋体"/>
                <w:snapToGrid w:val="0"/>
                <w:kern w:val="0"/>
                <w:sz w:val="21"/>
                <w:szCs w:val="21"/>
              </w:rPr>
              <w:t>相关证明材料，</w:t>
            </w:r>
            <w:r>
              <w:rPr>
                <w:rFonts w:hint="eastAsia" w:ascii="宋体" w:hAnsi="宋体" w:eastAsia="宋体" w:cs="宋体"/>
                <w:kern w:val="0"/>
                <w:sz w:val="21"/>
                <w:szCs w:val="21"/>
              </w:rPr>
              <w:t>否则评标委员会有权视相应技术参数响应不符合招标要求</w:t>
            </w:r>
            <w:r>
              <w:rPr>
                <w:rFonts w:hint="eastAsia" w:ascii="宋体" w:hAnsi="宋体" w:eastAsia="宋体" w:cs="宋体"/>
                <w:snapToGrid w:val="0"/>
                <w:kern w:val="0"/>
                <w:sz w:val="21"/>
                <w:szCs w:val="21"/>
              </w:rPr>
              <w:t>。</w:t>
            </w:r>
          </w:p>
          <w:p w14:paraId="3A46AA3E">
            <w:pPr>
              <w:pStyle w:val="5"/>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lang w:eastAsia="zh-CN"/>
              </w:rPr>
              <w:t>（</w:t>
            </w:r>
            <w:r>
              <w:rPr>
                <w:rFonts w:hint="eastAsia" w:ascii="宋体" w:hAnsi="宋体" w:eastAsia="宋体" w:cs="宋体"/>
                <w:snapToGrid w:val="0"/>
                <w:kern w:val="0"/>
                <w:sz w:val="21"/>
                <w:szCs w:val="21"/>
                <w:lang w:val="en-US" w:eastAsia="zh-CN"/>
              </w:rPr>
              <w:t>2</w:t>
            </w:r>
            <w:r>
              <w:rPr>
                <w:rFonts w:hint="eastAsia" w:ascii="宋体" w:hAnsi="宋体" w:eastAsia="宋体" w:cs="宋体"/>
                <w:snapToGrid w:val="0"/>
                <w:kern w:val="0"/>
                <w:sz w:val="21"/>
                <w:szCs w:val="21"/>
                <w:lang w:eastAsia="zh-CN"/>
              </w:rPr>
              <w:t>）</w:t>
            </w:r>
            <w:r>
              <w:rPr>
                <w:rFonts w:hint="eastAsia" w:ascii="宋体" w:hAnsi="宋体" w:eastAsia="宋体" w:cs="宋体"/>
                <w:snapToGrid w:val="0"/>
                <w:kern w:val="0"/>
                <w:sz w:val="21"/>
                <w:szCs w:val="21"/>
              </w:rPr>
              <w:t>注明证明材料在投标文件中的具体位置，如投标人不按照招标文件要求放置证明材料，</w:t>
            </w:r>
            <w:r>
              <w:rPr>
                <w:rFonts w:hint="eastAsia" w:ascii="宋体" w:hAnsi="宋体" w:eastAsia="宋体" w:cs="宋体"/>
                <w:kern w:val="0"/>
                <w:sz w:val="21"/>
                <w:szCs w:val="21"/>
              </w:rPr>
              <w:t>评标委员会有权视相应技术参数响应不符合招标要求</w:t>
            </w:r>
            <w:r>
              <w:rPr>
                <w:rFonts w:hint="eastAsia" w:ascii="宋体" w:hAnsi="宋体" w:eastAsia="宋体" w:cs="宋体"/>
                <w:snapToGrid w:val="0"/>
                <w:kern w:val="0"/>
                <w:sz w:val="21"/>
                <w:szCs w:val="21"/>
              </w:rPr>
              <w:t>，按负偏离进行扣分。</w:t>
            </w:r>
          </w:p>
          <w:p w14:paraId="3BFB1FE7">
            <w:pPr>
              <w:pStyle w:val="5"/>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宋体" w:hAnsi="宋体" w:eastAsia="宋体" w:cs="宋体"/>
                <w:snapToGrid w:val="0"/>
                <w:color w:val="000000"/>
                <w:kern w:val="0"/>
                <w:sz w:val="21"/>
                <w:szCs w:val="21"/>
              </w:rPr>
            </w:pPr>
            <w:r>
              <w:rPr>
                <w:rFonts w:hint="eastAsia" w:ascii="宋体" w:hAnsi="宋体" w:eastAsia="宋体" w:cs="宋体"/>
                <w:snapToGrid w:val="0"/>
                <w:kern w:val="0"/>
                <w:sz w:val="21"/>
                <w:szCs w:val="21"/>
                <w:lang w:eastAsia="zh-CN"/>
              </w:rPr>
              <w:t>（</w:t>
            </w:r>
            <w:r>
              <w:rPr>
                <w:rFonts w:hint="eastAsia" w:ascii="宋体" w:hAnsi="宋体" w:eastAsia="宋体" w:cs="宋体"/>
                <w:snapToGrid w:val="0"/>
                <w:kern w:val="0"/>
                <w:sz w:val="21"/>
                <w:szCs w:val="21"/>
                <w:lang w:val="en-US" w:eastAsia="zh-CN"/>
              </w:rPr>
              <w:t>3</w:t>
            </w:r>
            <w:r>
              <w:rPr>
                <w:rFonts w:hint="eastAsia" w:ascii="宋体" w:hAnsi="宋体" w:eastAsia="宋体" w:cs="宋体"/>
                <w:snapToGrid w:val="0"/>
                <w:kern w:val="0"/>
                <w:sz w:val="21"/>
                <w:szCs w:val="21"/>
                <w:lang w:eastAsia="zh-CN"/>
              </w:rPr>
              <w:t>）</w:t>
            </w:r>
            <w:r>
              <w:rPr>
                <w:rFonts w:hint="eastAsia" w:ascii="宋体" w:hAnsi="宋体" w:eastAsia="宋体" w:cs="宋体"/>
                <w:snapToGrid w:val="0"/>
                <w:kern w:val="0"/>
                <w:sz w:val="21"/>
                <w:szCs w:val="21"/>
              </w:rPr>
              <w:t>提供的证明资料显示不符合招标文件要求、模糊不清无法判断或未显示是否满足招标文件参数，且投标人偏离程度响应为“无偏离或正偏离”，</w:t>
            </w:r>
            <w:r>
              <w:rPr>
                <w:rFonts w:hint="eastAsia" w:ascii="宋体" w:hAnsi="宋体" w:eastAsia="宋体" w:cs="宋体"/>
                <w:kern w:val="0"/>
                <w:sz w:val="21"/>
                <w:szCs w:val="21"/>
              </w:rPr>
              <w:t>评标委员会有权视相应技术参数响应不符合招标要求</w:t>
            </w:r>
            <w:r>
              <w:rPr>
                <w:rFonts w:hint="eastAsia" w:ascii="宋体" w:hAnsi="宋体" w:eastAsia="宋体" w:cs="宋体"/>
                <w:snapToGrid w:val="0"/>
                <w:kern w:val="0"/>
                <w:sz w:val="21"/>
                <w:szCs w:val="21"/>
              </w:rPr>
              <w:t>，按负偏离进行扣分。</w:t>
            </w:r>
          </w:p>
        </w:tc>
      </w:tr>
      <w:tr w14:paraId="66C6B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rPr>
        <w:tc>
          <w:tcPr>
            <w:tcW w:w="666" w:type="dxa"/>
            <w:noWrap w:val="0"/>
            <w:vAlign w:val="center"/>
          </w:tcPr>
          <w:p w14:paraId="1ECD8046">
            <w:pPr>
              <w:widowControl/>
              <w:jc w:val="center"/>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val="en-US" w:eastAsia="zh-CN"/>
              </w:rPr>
              <w:t>3</w:t>
            </w:r>
          </w:p>
        </w:tc>
        <w:tc>
          <w:tcPr>
            <w:tcW w:w="1570" w:type="dxa"/>
            <w:noWrap w:val="0"/>
            <w:vAlign w:val="center"/>
          </w:tcPr>
          <w:p w14:paraId="241149CE">
            <w:pPr>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rPr>
              <w:t>技术保障措施</w:t>
            </w:r>
          </w:p>
        </w:tc>
        <w:tc>
          <w:tcPr>
            <w:tcW w:w="804" w:type="dxa"/>
            <w:noWrap w:val="0"/>
            <w:vAlign w:val="center"/>
          </w:tcPr>
          <w:p w14:paraId="03BEDF2F">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8</w:t>
            </w:r>
            <w:r>
              <w:rPr>
                <w:rFonts w:hint="eastAsia" w:ascii="宋体" w:hAnsi="宋体" w:eastAsia="宋体" w:cs="宋体"/>
                <w:color w:val="000000"/>
                <w:sz w:val="21"/>
                <w:szCs w:val="21"/>
                <w:highlight w:val="none"/>
              </w:rPr>
              <w:t>分</w:t>
            </w:r>
          </w:p>
        </w:tc>
        <w:tc>
          <w:tcPr>
            <w:tcW w:w="1096" w:type="dxa"/>
            <w:noWrap w:val="0"/>
            <w:vAlign w:val="center"/>
          </w:tcPr>
          <w:p w14:paraId="0D85D547">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专家打分</w:t>
            </w:r>
          </w:p>
        </w:tc>
        <w:tc>
          <w:tcPr>
            <w:tcW w:w="5490" w:type="dxa"/>
            <w:noWrap w:val="0"/>
            <w:vAlign w:val="center"/>
          </w:tcPr>
          <w:p w14:paraId="08A530BF">
            <w:pPr>
              <w:widowControl/>
              <w:autoSpaceDE/>
              <w:autoSpaceDN/>
              <w:adjustRightInd/>
              <w:snapToGrid/>
              <w:jc w:val="left"/>
              <w:rPr>
                <w:rFonts w:hint="eastAsia"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lang w:val="en-US" w:eastAsia="zh-CN"/>
              </w:rPr>
              <w:t>（1）</w:t>
            </w:r>
            <w:r>
              <w:rPr>
                <w:rFonts w:hint="eastAsia" w:ascii="宋体" w:hAnsi="宋体" w:eastAsia="宋体" w:cs="宋体"/>
                <w:b/>
                <w:bCs/>
                <w:color w:val="000000"/>
                <w:kern w:val="0"/>
                <w:sz w:val="21"/>
                <w:szCs w:val="21"/>
                <w:highlight w:val="none"/>
              </w:rPr>
              <w:t>评分内容：</w:t>
            </w:r>
          </w:p>
          <w:p w14:paraId="52F53100">
            <w:pPr>
              <w:widowControl/>
              <w:autoSpaceDE/>
              <w:autoSpaceDN/>
              <w:adjustRightInd/>
              <w:snapToGrid/>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根据投标人对项目的理解情况制定技术保障措施，内容包括：</w:t>
            </w:r>
          </w:p>
          <w:p w14:paraId="4C0F4CCC">
            <w:pPr>
              <w:widowControl/>
              <w:numPr>
                <w:ilvl w:val="0"/>
                <w:numId w:val="0"/>
              </w:numPr>
              <w:autoSpaceDE/>
              <w:autoSpaceDN/>
              <w:adjustRightInd/>
              <w:snapToGrid/>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val="en-US" w:eastAsia="zh-CN" w:bidi="ar-SA"/>
              </w:rPr>
              <w:t>①</w:t>
            </w:r>
            <w:r>
              <w:rPr>
                <w:rFonts w:hint="eastAsia" w:ascii="宋体" w:hAnsi="宋体" w:eastAsia="宋体" w:cs="宋体"/>
                <w:color w:val="000000"/>
                <w:kern w:val="0"/>
                <w:sz w:val="21"/>
                <w:szCs w:val="21"/>
                <w:highlight w:val="none"/>
              </w:rPr>
              <w:t>供货进度安排</w:t>
            </w:r>
          </w:p>
          <w:p w14:paraId="3229B85F">
            <w:pPr>
              <w:widowControl/>
              <w:numPr>
                <w:ilvl w:val="0"/>
                <w:numId w:val="0"/>
              </w:numPr>
              <w:autoSpaceDE/>
              <w:autoSpaceDN/>
              <w:adjustRightInd/>
              <w:snapToGrid/>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val="en-US" w:eastAsia="zh-CN" w:bidi="ar-SA"/>
              </w:rPr>
              <w:t>②</w:t>
            </w:r>
            <w:r>
              <w:rPr>
                <w:rFonts w:hint="eastAsia" w:ascii="宋体" w:hAnsi="宋体" w:eastAsia="宋体" w:cs="宋体"/>
                <w:color w:val="000000"/>
                <w:kern w:val="0"/>
                <w:sz w:val="21"/>
                <w:szCs w:val="21"/>
                <w:highlight w:val="none"/>
              </w:rPr>
              <w:t>安装调试方案</w:t>
            </w:r>
          </w:p>
          <w:p w14:paraId="66352E0F">
            <w:pPr>
              <w:widowControl/>
              <w:numPr>
                <w:ilvl w:val="0"/>
                <w:numId w:val="0"/>
              </w:numPr>
              <w:autoSpaceDE/>
              <w:autoSpaceDN/>
              <w:adjustRightInd/>
              <w:snapToGrid/>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val="en-US" w:eastAsia="zh-CN" w:bidi="ar-SA"/>
              </w:rPr>
              <w:t>③</w:t>
            </w:r>
            <w:r>
              <w:rPr>
                <w:rFonts w:hint="eastAsia" w:ascii="宋体" w:hAnsi="宋体" w:eastAsia="宋体" w:cs="宋体"/>
                <w:color w:val="000000"/>
                <w:kern w:val="0"/>
                <w:sz w:val="21"/>
                <w:szCs w:val="21"/>
                <w:highlight w:val="none"/>
              </w:rPr>
              <w:t>质量控制措施</w:t>
            </w:r>
          </w:p>
          <w:p w14:paraId="015E4CFD">
            <w:pPr>
              <w:widowControl/>
              <w:numPr>
                <w:ilvl w:val="0"/>
                <w:numId w:val="0"/>
              </w:numPr>
              <w:autoSpaceDE/>
              <w:autoSpaceDN/>
              <w:adjustRightInd/>
              <w:snapToGrid/>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val="en-US" w:eastAsia="zh-CN" w:bidi="ar-SA"/>
              </w:rPr>
              <w:t>④</w:t>
            </w:r>
            <w:r>
              <w:rPr>
                <w:rFonts w:hint="eastAsia" w:ascii="宋体" w:hAnsi="宋体" w:eastAsia="宋体" w:cs="宋体"/>
                <w:color w:val="000000"/>
                <w:kern w:val="0"/>
                <w:sz w:val="21"/>
                <w:szCs w:val="21"/>
                <w:highlight w:val="none"/>
              </w:rPr>
              <w:t>安全保障措施</w:t>
            </w:r>
          </w:p>
          <w:p w14:paraId="13BC6FCD">
            <w:pPr>
              <w:widowControl/>
              <w:numPr>
                <w:ilvl w:val="0"/>
                <w:numId w:val="0"/>
              </w:numPr>
              <w:autoSpaceDE/>
              <w:autoSpaceDN/>
              <w:adjustRightInd/>
              <w:snapToGrid/>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val="en-US" w:eastAsia="zh-CN" w:bidi="ar-SA"/>
              </w:rPr>
              <w:t>⑤</w:t>
            </w:r>
            <w:r>
              <w:rPr>
                <w:rFonts w:hint="eastAsia" w:ascii="宋体" w:hAnsi="宋体" w:eastAsia="宋体" w:cs="宋体"/>
                <w:color w:val="000000"/>
                <w:kern w:val="0"/>
                <w:sz w:val="21"/>
                <w:szCs w:val="21"/>
                <w:highlight w:val="none"/>
              </w:rPr>
              <w:t>技术团队情况</w:t>
            </w:r>
          </w:p>
          <w:p w14:paraId="40A63B4B">
            <w:pPr>
              <w:widowControl/>
              <w:numPr>
                <w:ilvl w:val="0"/>
                <w:numId w:val="0"/>
              </w:numPr>
              <w:autoSpaceDE/>
              <w:autoSpaceDN/>
              <w:adjustRightInd/>
              <w:snapToGrid/>
              <w:ind w:left="425" w:hanging="425"/>
              <w:jc w:val="left"/>
              <w:rPr>
                <w:rFonts w:hint="eastAsia"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lang w:eastAsia="zh-CN"/>
              </w:rPr>
              <w:t>（</w:t>
            </w:r>
            <w:r>
              <w:rPr>
                <w:rFonts w:hint="eastAsia" w:ascii="宋体" w:hAnsi="宋体" w:eastAsia="宋体" w:cs="宋体"/>
                <w:b/>
                <w:bCs/>
                <w:color w:val="000000"/>
                <w:kern w:val="0"/>
                <w:sz w:val="21"/>
                <w:szCs w:val="21"/>
                <w:highlight w:val="none"/>
                <w:lang w:val="en-US" w:eastAsia="zh-CN"/>
              </w:rPr>
              <w:t>2</w:t>
            </w:r>
            <w:r>
              <w:rPr>
                <w:rFonts w:hint="eastAsia" w:ascii="宋体" w:hAnsi="宋体" w:eastAsia="宋体" w:cs="宋体"/>
                <w:b/>
                <w:bCs/>
                <w:color w:val="000000"/>
                <w:kern w:val="0"/>
                <w:sz w:val="21"/>
                <w:szCs w:val="21"/>
                <w:highlight w:val="none"/>
                <w:lang w:eastAsia="zh-CN"/>
              </w:rPr>
              <w:t>）</w:t>
            </w:r>
            <w:r>
              <w:rPr>
                <w:rFonts w:hint="eastAsia" w:ascii="宋体" w:hAnsi="宋体" w:eastAsia="宋体" w:cs="宋体"/>
                <w:b/>
                <w:bCs/>
                <w:color w:val="000000"/>
                <w:kern w:val="0"/>
                <w:sz w:val="21"/>
                <w:szCs w:val="21"/>
                <w:highlight w:val="none"/>
              </w:rPr>
              <w:t>评分依据：</w:t>
            </w:r>
          </w:p>
          <w:p w14:paraId="7990DBAD">
            <w:pPr>
              <w:widowControl/>
              <w:autoSpaceDE/>
              <w:autoSpaceDN/>
              <w:adjustRightInd/>
              <w:snapToGrid/>
              <w:jc w:val="left"/>
              <w:rPr>
                <w:rFonts w:hint="eastAsia" w:ascii="宋体" w:hAnsi="宋体" w:eastAsia="宋体" w:cs="宋体"/>
                <w:color w:val="000000"/>
                <w:sz w:val="21"/>
                <w:szCs w:val="21"/>
                <w:highlight w:val="none"/>
              </w:rPr>
            </w:pPr>
            <w:r>
              <w:rPr>
                <w:rFonts w:hint="eastAsia" w:ascii="宋体" w:hAnsi="宋体" w:eastAsia="宋体" w:cs="宋体"/>
                <w:color w:val="auto"/>
                <w:sz w:val="21"/>
                <w:szCs w:val="21"/>
                <w:highlight w:val="none"/>
              </w:rPr>
              <w:t>技术保障措施包含以上任意一项内容得</w:t>
            </w:r>
            <w:r>
              <w:rPr>
                <w:rFonts w:hint="eastAsia" w:ascii="宋体" w:hAnsi="宋体" w:eastAsia="宋体" w:cs="宋体"/>
                <w:color w:val="auto"/>
                <w:sz w:val="21"/>
                <w:szCs w:val="21"/>
                <w:highlight w:val="none"/>
                <w:lang w:val="en-US" w:eastAsia="zh-CN"/>
              </w:rPr>
              <w:t>0.6</w:t>
            </w:r>
            <w:r>
              <w:rPr>
                <w:rFonts w:hint="eastAsia" w:ascii="宋体" w:hAnsi="宋体" w:eastAsia="宋体" w:cs="宋体"/>
                <w:color w:val="auto"/>
                <w:sz w:val="21"/>
                <w:szCs w:val="21"/>
                <w:highlight w:val="none"/>
              </w:rPr>
              <w:t>分；最高</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在此基础上，根据技术保障措施响应情况进一步评审：</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lang w:val="en-US" w:eastAsia="zh-CN"/>
              </w:rPr>
              <w:t>①</w:t>
            </w:r>
            <w:r>
              <w:rPr>
                <w:rFonts w:hint="eastAsia" w:ascii="宋体" w:hAnsi="宋体" w:eastAsia="宋体" w:cs="宋体"/>
                <w:color w:val="auto"/>
                <w:sz w:val="21"/>
                <w:szCs w:val="21"/>
                <w:highlight w:val="none"/>
              </w:rPr>
              <w:t>项目技术保障措施全面具体、针对性强、可操作性强，评价为优，加</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lang w:val="en-US" w:eastAsia="zh-CN"/>
              </w:rPr>
              <w:t>②</w:t>
            </w:r>
            <w:r>
              <w:rPr>
                <w:rFonts w:hint="eastAsia" w:ascii="宋体" w:hAnsi="宋体" w:eastAsia="宋体" w:cs="宋体"/>
                <w:color w:val="auto"/>
                <w:sz w:val="21"/>
                <w:szCs w:val="21"/>
                <w:highlight w:val="none"/>
              </w:rPr>
              <w:t>项目技术保障措施比较全面具体、针对性、可操作性较好，评价为良，加</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lang w:val="en-US" w:eastAsia="zh-CN"/>
              </w:rPr>
              <w:t>③</w:t>
            </w:r>
            <w:r>
              <w:rPr>
                <w:rFonts w:hint="eastAsia" w:ascii="宋体" w:hAnsi="宋体" w:eastAsia="宋体" w:cs="宋体"/>
                <w:color w:val="auto"/>
                <w:sz w:val="21"/>
                <w:szCs w:val="21"/>
                <w:highlight w:val="none"/>
              </w:rPr>
              <w:t>项目技术保障措施基本全面具体，针对性、可操作性一般。评价为中，加</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lang w:val="en-US" w:eastAsia="zh-CN"/>
              </w:rPr>
              <w:t>④</w:t>
            </w:r>
            <w:r>
              <w:rPr>
                <w:rFonts w:hint="eastAsia" w:ascii="宋体" w:hAnsi="宋体" w:eastAsia="宋体" w:cs="宋体"/>
                <w:color w:val="auto"/>
                <w:sz w:val="21"/>
                <w:szCs w:val="21"/>
                <w:highlight w:val="none"/>
              </w:rPr>
              <w:t>项目技术保障措施不全不具体、无针对性、无可操作</w:t>
            </w:r>
            <w:r>
              <w:rPr>
                <w:rFonts w:hint="eastAsia" w:ascii="宋体" w:hAnsi="宋体" w:eastAsia="宋体" w:cs="宋体"/>
                <w:sz w:val="21"/>
                <w:szCs w:val="21"/>
                <w:highlight w:val="none"/>
              </w:rPr>
              <w:t>性，或未按采购文件要求提供实施方案的。评价为差，不得分。如果评审为差，要求专家书面说明理由，并记录在档。</w:t>
            </w:r>
            <w:r>
              <w:rPr>
                <w:rFonts w:hint="eastAsia" w:ascii="宋体" w:hAnsi="宋体" w:eastAsia="宋体" w:cs="宋体"/>
                <w:sz w:val="21"/>
                <w:szCs w:val="21"/>
                <w:highlight w:val="none"/>
              </w:rPr>
              <w:br w:type="textWrapping"/>
            </w:r>
            <w:r>
              <w:rPr>
                <w:rFonts w:hint="eastAsia" w:ascii="宋体" w:hAnsi="宋体" w:eastAsia="宋体" w:cs="宋体"/>
                <w:sz w:val="21"/>
                <w:szCs w:val="21"/>
                <w:highlight w:val="none"/>
              </w:rPr>
              <w:t>以上累计得分，最高得</w:t>
            </w:r>
            <w:r>
              <w:rPr>
                <w:rFonts w:hint="eastAsia" w:ascii="宋体" w:hAnsi="宋体" w:eastAsia="宋体" w:cs="宋体"/>
                <w:sz w:val="21"/>
                <w:szCs w:val="21"/>
                <w:highlight w:val="none"/>
                <w:lang w:val="en-US" w:eastAsia="zh-CN"/>
              </w:rPr>
              <w:t>8</w:t>
            </w:r>
            <w:r>
              <w:rPr>
                <w:rFonts w:hint="eastAsia" w:ascii="宋体" w:hAnsi="宋体" w:eastAsia="宋体" w:cs="宋体"/>
                <w:sz w:val="21"/>
                <w:szCs w:val="21"/>
                <w:highlight w:val="none"/>
              </w:rPr>
              <w:t>分。</w:t>
            </w:r>
          </w:p>
        </w:tc>
      </w:tr>
    </w:tbl>
    <w:p w14:paraId="0447FA63">
      <w:pPr>
        <w:pStyle w:val="4"/>
        <w:numPr>
          <w:ilvl w:val="0"/>
          <w:numId w:val="0"/>
        </w:numPr>
        <w:bidi w:val="0"/>
        <w:rPr>
          <w:rFonts w:hint="eastAsia"/>
        </w:rPr>
      </w:pPr>
      <w:bookmarkStart w:id="6" w:name="_Toc23177"/>
      <w:bookmarkStart w:id="7" w:name="_Toc28748"/>
      <w:bookmarkStart w:id="8" w:name="_Toc9591"/>
      <w:r>
        <w:rPr>
          <w:rFonts w:hint="eastAsia" w:ascii="Times New Roman" w:hAnsi="Times New Roman" w:eastAsia="宋体" w:cs="Times New Roman"/>
          <w:b/>
          <w:kern w:val="2"/>
          <w:sz w:val="24"/>
          <w:lang w:val="en-US" w:eastAsia="zh-CN" w:bidi="ar-SA"/>
        </w:rPr>
        <w:t>（二）</w:t>
      </w:r>
      <w:r>
        <w:rPr>
          <w:rFonts w:hint="eastAsia"/>
        </w:rPr>
        <w:t>商务评价（</w:t>
      </w:r>
      <w:r>
        <w:rPr>
          <w:rFonts w:hint="eastAsia"/>
          <w:u w:val="single"/>
        </w:rPr>
        <w:t>1</w:t>
      </w:r>
      <w:r>
        <w:rPr>
          <w:rFonts w:hint="eastAsia"/>
          <w:u w:val="single"/>
          <w:lang w:val="en-US" w:eastAsia="zh-CN"/>
        </w:rPr>
        <w:t>1</w:t>
      </w:r>
      <w:r>
        <w:rPr>
          <w:rFonts w:hint="eastAsia"/>
        </w:rPr>
        <w:t>分）：</w:t>
      </w:r>
      <w:bookmarkEnd w:id="6"/>
      <w:bookmarkEnd w:id="7"/>
      <w:bookmarkEnd w:id="8"/>
    </w:p>
    <w:p w14:paraId="46AA11C9">
      <w:pPr>
        <w:numPr>
          <w:ilvl w:val="0"/>
          <w:numId w:val="0"/>
        </w:numPr>
        <w:ind w:firstLine="422" w:firstLineChars="200"/>
        <w:rPr>
          <w:rFonts w:hint="eastAsia" w:ascii="宋体" w:hAnsi="宋体" w:eastAsia="宋体" w:cs="宋体"/>
          <w:b/>
          <w:bCs/>
          <w:color w:val="FF0000"/>
          <w:sz w:val="21"/>
          <w:szCs w:val="21"/>
        </w:rPr>
      </w:pPr>
      <w:r>
        <w:rPr>
          <w:rFonts w:hint="eastAsia" w:ascii="宋体" w:hAnsi="宋体" w:eastAsia="宋体" w:cs="宋体"/>
          <w:b/>
          <w:bCs/>
          <w:color w:val="FF0000"/>
          <w:sz w:val="21"/>
          <w:szCs w:val="21"/>
        </w:rPr>
        <w:t>备注：投标人的“商务要求偏离表”等必须与客观实际保持一致，响应不实且情节严重的，经查实，将依法记入供应商诚信档案或受到行政处罚。</w:t>
      </w:r>
    </w:p>
    <w:tbl>
      <w:tblPr>
        <w:tblStyle w:val="16"/>
        <w:tblW w:w="96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4"/>
        <w:gridCol w:w="1584"/>
        <w:gridCol w:w="800"/>
        <w:gridCol w:w="1075"/>
        <w:gridCol w:w="5538"/>
      </w:tblGrid>
      <w:tr w14:paraId="0AA7F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644" w:type="dxa"/>
            <w:noWrap w:val="0"/>
            <w:vAlign w:val="center"/>
          </w:tcPr>
          <w:p w14:paraId="66C03D5E">
            <w:pPr>
              <w:pStyle w:val="5"/>
              <w:spacing w:line="260" w:lineRule="atLeast"/>
              <w:ind w:firstLine="0"/>
              <w:jc w:val="center"/>
              <w:rPr>
                <w:rFonts w:hint="eastAsia" w:ascii="宋体" w:hAnsi="宋体" w:eastAsia="宋体" w:cs="宋体"/>
                <w:b/>
                <w:sz w:val="21"/>
                <w:szCs w:val="21"/>
              </w:rPr>
            </w:pPr>
            <w:r>
              <w:rPr>
                <w:rFonts w:hint="eastAsia" w:ascii="宋体" w:hAnsi="宋体" w:eastAsia="宋体" w:cs="宋体"/>
                <w:b/>
                <w:sz w:val="21"/>
                <w:szCs w:val="21"/>
              </w:rPr>
              <w:t>序号</w:t>
            </w:r>
          </w:p>
        </w:tc>
        <w:tc>
          <w:tcPr>
            <w:tcW w:w="1584" w:type="dxa"/>
            <w:noWrap w:val="0"/>
            <w:vAlign w:val="center"/>
          </w:tcPr>
          <w:p w14:paraId="20613001">
            <w:pPr>
              <w:pStyle w:val="5"/>
              <w:spacing w:line="260" w:lineRule="atLeast"/>
              <w:ind w:firstLine="0"/>
              <w:jc w:val="center"/>
              <w:rPr>
                <w:rFonts w:hint="eastAsia" w:ascii="宋体" w:hAnsi="宋体" w:eastAsia="宋体" w:cs="宋体"/>
                <w:b/>
                <w:sz w:val="21"/>
                <w:szCs w:val="21"/>
              </w:rPr>
            </w:pPr>
            <w:r>
              <w:rPr>
                <w:rFonts w:hint="eastAsia" w:ascii="宋体" w:hAnsi="宋体" w:eastAsia="宋体" w:cs="宋体"/>
                <w:b/>
                <w:sz w:val="21"/>
                <w:szCs w:val="21"/>
              </w:rPr>
              <w:t>评议因素</w:t>
            </w:r>
          </w:p>
        </w:tc>
        <w:tc>
          <w:tcPr>
            <w:tcW w:w="800" w:type="dxa"/>
            <w:noWrap w:val="0"/>
            <w:vAlign w:val="center"/>
          </w:tcPr>
          <w:p w14:paraId="5BACDA8A">
            <w:pPr>
              <w:pStyle w:val="5"/>
              <w:spacing w:line="260" w:lineRule="atLeast"/>
              <w:ind w:firstLine="0"/>
              <w:jc w:val="center"/>
              <w:rPr>
                <w:rFonts w:hint="eastAsia" w:ascii="宋体" w:hAnsi="宋体" w:eastAsia="宋体" w:cs="宋体"/>
                <w:b/>
                <w:sz w:val="21"/>
                <w:szCs w:val="21"/>
              </w:rPr>
            </w:pPr>
            <w:r>
              <w:rPr>
                <w:rFonts w:hint="eastAsia" w:ascii="宋体" w:hAnsi="宋体" w:eastAsia="宋体" w:cs="宋体"/>
                <w:b/>
                <w:sz w:val="21"/>
                <w:szCs w:val="21"/>
              </w:rPr>
              <w:t>分值</w:t>
            </w:r>
          </w:p>
          <w:p w14:paraId="1FD34531">
            <w:pPr>
              <w:pStyle w:val="5"/>
              <w:spacing w:line="260" w:lineRule="atLeast"/>
              <w:ind w:firstLine="0"/>
              <w:jc w:val="center"/>
              <w:rPr>
                <w:rFonts w:hint="eastAsia" w:ascii="宋体" w:hAnsi="宋体" w:eastAsia="宋体" w:cs="宋体"/>
                <w:b/>
                <w:sz w:val="21"/>
                <w:szCs w:val="21"/>
              </w:rPr>
            </w:pPr>
            <w:r>
              <w:rPr>
                <w:rFonts w:hint="eastAsia" w:ascii="宋体" w:hAnsi="宋体" w:eastAsia="宋体" w:cs="宋体"/>
                <w:b/>
                <w:sz w:val="21"/>
                <w:szCs w:val="21"/>
              </w:rPr>
              <w:t>（分）</w:t>
            </w:r>
          </w:p>
        </w:tc>
        <w:tc>
          <w:tcPr>
            <w:tcW w:w="1075" w:type="dxa"/>
            <w:noWrap w:val="0"/>
            <w:vAlign w:val="center"/>
          </w:tcPr>
          <w:p w14:paraId="0C8EA2DF">
            <w:pPr>
              <w:pStyle w:val="5"/>
              <w:spacing w:line="260" w:lineRule="atLeast"/>
              <w:ind w:firstLine="0"/>
              <w:jc w:val="center"/>
              <w:rPr>
                <w:rFonts w:hint="eastAsia" w:ascii="宋体" w:hAnsi="宋体" w:eastAsia="宋体" w:cs="宋体"/>
                <w:b/>
                <w:sz w:val="21"/>
                <w:szCs w:val="21"/>
              </w:rPr>
            </w:pPr>
            <w:r>
              <w:rPr>
                <w:rFonts w:hint="eastAsia" w:ascii="宋体" w:hAnsi="宋体" w:eastAsia="宋体" w:cs="宋体"/>
                <w:b/>
                <w:bCs/>
                <w:sz w:val="21"/>
                <w:szCs w:val="21"/>
              </w:rPr>
              <w:t>评分方式</w:t>
            </w:r>
          </w:p>
        </w:tc>
        <w:tc>
          <w:tcPr>
            <w:tcW w:w="5538" w:type="dxa"/>
            <w:noWrap w:val="0"/>
            <w:vAlign w:val="center"/>
          </w:tcPr>
          <w:p w14:paraId="2D3CD6D5">
            <w:pPr>
              <w:pStyle w:val="5"/>
              <w:spacing w:line="260" w:lineRule="atLeast"/>
              <w:ind w:firstLine="0"/>
              <w:jc w:val="center"/>
              <w:rPr>
                <w:rFonts w:hint="eastAsia" w:ascii="宋体" w:hAnsi="宋体" w:eastAsia="宋体" w:cs="宋体"/>
                <w:b/>
                <w:sz w:val="21"/>
                <w:szCs w:val="21"/>
              </w:rPr>
            </w:pPr>
            <w:r>
              <w:rPr>
                <w:rFonts w:hint="eastAsia" w:ascii="宋体" w:hAnsi="宋体" w:eastAsia="宋体" w:cs="宋体"/>
                <w:b/>
                <w:sz w:val="21"/>
                <w:szCs w:val="21"/>
              </w:rPr>
              <w:t>评分准则</w:t>
            </w:r>
          </w:p>
        </w:tc>
      </w:tr>
      <w:tr w14:paraId="01A54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4" w:type="dxa"/>
            <w:noWrap w:val="0"/>
            <w:vAlign w:val="center"/>
          </w:tcPr>
          <w:p w14:paraId="14931485">
            <w:pPr>
              <w:spacing w:line="260" w:lineRule="atLeast"/>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1</w:t>
            </w:r>
          </w:p>
        </w:tc>
        <w:tc>
          <w:tcPr>
            <w:tcW w:w="1584" w:type="dxa"/>
            <w:noWrap w:val="0"/>
            <w:vAlign w:val="center"/>
          </w:tcPr>
          <w:p w14:paraId="74547D22">
            <w:pPr>
              <w:widowControl/>
              <w:spacing w:line="260" w:lineRule="atLeast"/>
              <w:jc w:val="center"/>
              <w:rPr>
                <w:rFonts w:hint="eastAsia" w:ascii="宋体" w:hAnsi="宋体" w:eastAsia="宋体" w:cs="宋体"/>
                <w:sz w:val="21"/>
                <w:szCs w:val="21"/>
              </w:rPr>
            </w:pPr>
            <w:r>
              <w:rPr>
                <w:rFonts w:hint="eastAsia" w:ascii="宋体" w:hAnsi="宋体" w:eastAsia="宋体" w:cs="宋体"/>
                <w:sz w:val="21"/>
                <w:szCs w:val="21"/>
              </w:rPr>
              <w:t>免费保修期内售后服务条款偏离情况</w:t>
            </w:r>
          </w:p>
        </w:tc>
        <w:tc>
          <w:tcPr>
            <w:tcW w:w="800" w:type="dxa"/>
            <w:noWrap w:val="0"/>
            <w:vAlign w:val="center"/>
          </w:tcPr>
          <w:p w14:paraId="2FF729CC">
            <w:pPr>
              <w:widowControl/>
              <w:spacing w:line="260" w:lineRule="atLeast"/>
              <w:jc w:val="center"/>
              <w:rPr>
                <w:rFonts w:hint="eastAsia" w:ascii="宋体" w:hAnsi="宋体" w:eastAsia="宋体" w:cs="宋体"/>
                <w:color w:val="000000"/>
                <w:sz w:val="21"/>
                <w:szCs w:val="21"/>
              </w:rPr>
            </w:pPr>
            <w:r>
              <w:rPr>
                <w:rFonts w:hint="eastAsia" w:ascii="宋体" w:hAnsi="宋体" w:eastAsia="宋体" w:cs="宋体"/>
                <w:kern w:val="0"/>
                <w:sz w:val="21"/>
                <w:szCs w:val="21"/>
                <w:lang w:val="en-US" w:eastAsia="zh-CN"/>
              </w:rPr>
              <w:t>3</w:t>
            </w:r>
            <w:r>
              <w:rPr>
                <w:rFonts w:hint="eastAsia" w:ascii="宋体" w:hAnsi="宋体" w:eastAsia="宋体" w:cs="宋体"/>
                <w:color w:val="000000"/>
                <w:sz w:val="21"/>
                <w:szCs w:val="21"/>
              </w:rPr>
              <w:t>分</w:t>
            </w:r>
          </w:p>
        </w:tc>
        <w:tc>
          <w:tcPr>
            <w:tcW w:w="1075" w:type="dxa"/>
            <w:noWrap w:val="0"/>
            <w:vAlign w:val="center"/>
          </w:tcPr>
          <w:p w14:paraId="283FFDAE">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专家打分</w:t>
            </w:r>
          </w:p>
        </w:tc>
        <w:tc>
          <w:tcPr>
            <w:tcW w:w="5538" w:type="dxa"/>
            <w:noWrap w:val="0"/>
            <w:vAlign w:val="top"/>
          </w:tcPr>
          <w:p w14:paraId="60656AB4">
            <w:pPr>
              <w:widowControl/>
              <w:wordWrap w:val="0"/>
              <w:jc w:val="left"/>
              <w:textAlignment w:val="top"/>
              <w:rPr>
                <w:rFonts w:hint="eastAsia" w:ascii="宋体" w:hAnsi="宋体" w:eastAsia="宋体" w:cs="宋体"/>
                <w:sz w:val="21"/>
                <w:szCs w:val="21"/>
              </w:rPr>
            </w:pPr>
            <w:r>
              <w:rPr>
                <w:rFonts w:hint="eastAsia" w:ascii="宋体" w:hAnsi="宋体" w:eastAsia="宋体" w:cs="宋体"/>
                <w:kern w:val="0"/>
                <w:sz w:val="21"/>
                <w:szCs w:val="21"/>
              </w:rPr>
              <w:t>投标人应如实填写《商务</w:t>
            </w:r>
            <w:r>
              <w:rPr>
                <w:rFonts w:hint="eastAsia" w:ascii="宋体" w:hAnsi="宋体" w:eastAsia="宋体" w:cs="宋体"/>
                <w:kern w:val="0"/>
                <w:sz w:val="21"/>
                <w:szCs w:val="21"/>
                <w:lang w:val="en-US" w:eastAsia="zh-CN"/>
              </w:rPr>
              <w:t>条款</w:t>
            </w:r>
            <w:r>
              <w:rPr>
                <w:rFonts w:hint="eastAsia" w:ascii="宋体" w:hAnsi="宋体" w:eastAsia="宋体" w:cs="宋体"/>
                <w:kern w:val="0"/>
                <w:sz w:val="21"/>
                <w:szCs w:val="21"/>
              </w:rPr>
              <w:t>偏离表》，评审委员会根据响应情况进行打分</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全部满足要求的得</w:t>
            </w:r>
            <w:r>
              <w:rPr>
                <w:rFonts w:hint="eastAsia" w:ascii="宋体" w:hAnsi="宋体" w:eastAsia="宋体" w:cs="宋体"/>
                <w:kern w:val="0"/>
                <w:sz w:val="21"/>
                <w:szCs w:val="21"/>
                <w:lang w:val="en-US" w:eastAsia="zh-CN"/>
              </w:rPr>
              <w:t>3</w:t>
            </w:r>
            <w:r>
              <w:rPr>
                <w:rFonts w:hint="eastAsia" w:ascii="宋体" w:hAnsi="宋体" w:eastAsia="宋体" w:cs="宋体"/>
                <w:kern w:val="0"/>
                <w:sz w:val="21"/>
                <w:szCs w:val="21"/>
              </w:rPr>
              <w:t>分，每负偏离一项扣</w:t>
            </w:r>
            <w:r>
              <w:rPr>
                <w:rFonts w:hint="eastAsia" w:ascii="宋体" w:hAnsi="宋体" w:eastAsia="宋体" w:cs="宋体"/>
                <w:kern w:val="0"/>
                <w:sz w:val="21"/>
                <w:szCs w:val="21"/>
                <w:u w:val="single"/>
                <w:lang w:val="en-US" w:eastAsia="zh-CN"/>
              </w:rPr>
              <w:t xml:space="preserve">  0.4 </w:t>
            </w:r>
            <w:r>
              <w:rPr>
                <w:rFonts w:hint="eastAsia" w:ascii="宋体" w:hAnsi="宋体" w:eastAsia="宋体" w:cs="宋体"/>
                <w:kern w:val="0"/>
                <w:sz w:val="21"/>
                <w:szCs w:val="21"/>
              </w:rPr>
              <w:t>分</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扣完为止。</w:t>
            </w:r>
          </w:p>
        </w:tc>
      </w:tr>
      <w:tr w14:paraId="058A2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4" w:type="dxa"/>
            <w:noWrap w:val="0"/>
            <w:vAlign w:val="center"/>
          </w:tcPr>
          <w:p w14:paraId="77F7E797">
            <w:pPr>
              <w:spacing w:line="260" w:lineRule="atLeast"/>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2</w:t>
            </w:r>
          </w:p>
        </w:tc>
        <w:tc>
          <w:tcPr>
            <w:tcW w:w="1584" w:type="dxa"/>
            <w:noWrap w:val="0"/>
            <w:vAlign w:val="center"/>
          </w:tcPr>
          <w:p w14:paraId="02DA63A4">
            <w:pPr>
              <w:widowControl/>
              <w:spacing w:line="260" w:lineRule="atLeast"/>
              <w:jc w:val="center"/>
              <w:rPr>
                <w:rFonts w:hint="eastAsia" w:ascii="宋体" w:hAnsi="宋体" w:eastAsia="宋体" w:cs="宋体"/>
                <w:sz w:val="21"/>
                <w:szCs w:val="21"/>
              </w:rPr>
            </w:pPr>
            <w:r>
              <w:rPr>
                <w:rFonts w:hint="eastAsia" w:ascii="宋体" w:hAnsi="宋体" w:eastAsia="宋体" w:cs="宋体"/>
                <w:sz w:val="21"/>
                <w:szCs w:val="21"/>
              </w:rPr>
              <w:t>免费保修期外售后服务条款偏离情况</w:t>
            </w:r>
          </w:p>
        </w:tc>
        <w:tc>
          <w:tcPr>
            <w:tcW w:w="800" w:type="dxa"/>
            <w:noWrap w:val="0"/>
            <w:vAlign w:val="center"/>
          </w:tcPr>
          <w:p w14:paraId="51DD177C">
            <w:pPr>
              <w:widowControl/>
              <w:spacing w:line="260" w:lineRule="atLeast"/>
              <w:jc w:val="center"/>
              <w:rPr>
                <w:rFonts w:hint="eastAsia" w:ascii="宋体" w:hAnsi="宋体" w:eastAsia="宋体" w:cs="宋体"/>
                <w:color w:val="000000"/>
                <w:sz w:val="21"/>
                <w:szCs w:val="21"/>
              </w:rPr>
            </w:pPr>
            <w:r>
              <w:rPr>
                <w:rFonts w:hint="eastAsia" w:ascii="宋体" w:hAnsi="宋体" w:eastAsia="宋体" w:cs="宋体"/>
                <w:kern w:val="0"/>
                <w:sz w:val="21"/>
                <w:szCs w:val="21"/>
                <w:lang w:val="en-US" w:eastAsia="zh-CN"/>
              </w:rPr>
              <w:t>2</w:t>
            </w:r>
            <w:r>
              <w:rPr>
                <w:rFonts w:hint="eastAsia" w:ascii="宋体" w:hAnsi="宋体" w:eastAsia="宋体" w:cs="宋体"/>
                <w:color w:val="000000"/>
                <w:sz w:val="21"/>
                <w:szCs w:val="21"/>
              </w:rPr>
              <w:t>分</w:t>
            </w:r>
          </w:p>
        </w:tc>
        <w:tc>
          <w:tcPr>
            <w:tcW w:w="1075" w:type="dxa"/>
            <w:noWrap w:val="0"/>
            <w:vAlign w:val="center"/>
          </w:tcPr>
          <w:p w14:paraId="04A4D408">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专家打分</w:t>
            </w:r>
          </w:p>
        </w:tc>
        <w:tc>
          <w:tcPr>
            <w:tcW w:w="5538" w:type="dxa"/>
            <w:noWrap w:val="0"/>
            <w:vAlign w:val="top"/>
          </w:tcPr>
          <w:p w14:paraId="0E95B76B">
            <w:pPr>
              <w:widowControl/>
              <w:wordWrap w:val="0"/>
              <w:jc w:val="left"/>
              <w:textAlignment w:val="top"/>
              <w:rPr>
                <w:rFonts w:hint="eastAsia" w:ascii="宋体" w:hAnsi="宋体" w:eastAsia="宋体" w:cs="宋体"/>
                <w:sz w:val="21"/>
                <w:szCs w:val="21"/>
              </w:rPr>
            </w:pPr>
            <w:r>
              <w:rPr>
                <w:rFonts w:hint="eastAsia" w:ascii="宋体" w:hAnsi="宋体" w:eastAsia="宋体" w:cs="宋体"/>
                <w:kern w:val="0"/>
                <w:sz w:val="21"/>
                <w:szCs w:val="21"/>
              </w:rPr>
              <w:t>投标人应如实填写《商务</w:t>
            </w:r>
            <w:r>
              <w:rPr>
                <w:rFonts w:hint="eastAsia" w:ascii="宋体" w:hAnsi="宋体" w:eastAsia="宋体" w:cs="宋体"/>
                <w:kern w:val="0"/>
                <w:sz w:val="21"/>
                <w:szCs w:val="21"/>
                <w:lang w:val="en-US" w:eastAsia="zh-CN"/>
              </w:rPr>
              <w:t>条款</w:t>
            </w:r>
            <w:r>
              <w:rPr>
                <w:rFonts w:hint="eastAsia" w:ascii="宋体" w:hAnsi="宋体" w:eastAsia="宋体" w:cs="宋体"/>
                <w:kern w:val="0"/>
                <w:sz w:val="21"/>
                <w:szCs w:val="21"/>
              </w:rPr>
              <w:t>偏离表》，评审委员会根据响应情况进行打分，全部满足要求的得</w:t>
            </w:r>
            <w:r>
              <w:rPr>
                <w:rFonts w:hint="eastAsia" w:ascii="宋体" w:hAnsi="宋体" w:eastAsia="宋体" w:cs="宋体"/>
                <w:kern w:val="0"/>
                <w:sz w:val="21"/>
                <w:szCs w:val="21"/>
                <w:lang w:val="en-US" w:eastAsia="zh-CN"/>
              </w:rPr>
              <w:t>2</w:t>
            </w:r>
            <w:r>
              <w:rPr>
                <w:rFonts w:hint="eastAsia" w:ascii="宋体" w:hAnsi="宋体" w:eastAsia="宋体" w:cs="宋体"/>
                <w:kern w:val="0"/>
                <w:sz w:val="21"/>
                <w:szCs w:val="21"/>
              </w:rPr>
              <w:t>分，每负偏离一项扣</w:t>
            </w:r>
            <w:r>
              <w:rPr>
                <w:rFonts w:hint="eastAsia" w:ascii="宋体" w:hAnsi="宋体" w:eastAsia="宋体" w:cs="宋体"/>
                <w:kern w:val="0"/>
                <w:sz w:val="21"/>
                <w:szCs w:val="21"/>
                <w:u w:val="single"/>
                <w:lang w:val="en-US" w:eastAsia="zh-CN"/>
              </w:rPr>
              <w:t xml:space="preserve">  1 </w:t>
            </w:r>
            <w:r>
              <w:rPr>
                <w:rFonts w:hint="eastAsia" w:ascii="宋体" w:hAnsi="宋体" w:eastAsia="宋体" w:cs="宋体"/>
                <w:kern w:val="0"/>
                <w:sz w:val="21"/>
                <w:szCs w:val="21"/>
              </w:rPr>
              <w:t>分，扣完为止。</w:t>
            </w:r>
          </w:p>
        </w:tc>
      </w:tr>
      <w:tr w14:paraId="7C135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4" w:type="dxa"/>
            <w:noWrap w:val="0"/>
            <w:vAlign w:val="center"/>
          </w:tcPr>
          <w:p w14:paraId="6A760131">
            <w:pPr>
              <w:spacing w:line="260" w:lineRule="atLeast"/>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3</w:t>
            </w:r>
          </w:p>
        </w:tc>
        <w:tc>
          <w:tcPr>
            <w:tcW w:w="1584" w:type="dxa"/>
            <w:noWrap w:val="0"/>
            <w:vAlign w:val="center"/>
          </w:tcPr>
          <w:p w14:paraId="21654750">
            <w:pPr>
              <w:widowControl/>
              <w:spacing w:line="260" w:lineRule="atLeast"/>
              <w:jc w:val="center"/>
              <w:rPr>
                <w:rFonts w:hint="eastAsia" w:ascii="宋体" w:hAnsi="宋体" w:eastAsia="宋体" w:cs="宋体"/>
                <w:sz w:val="21"/>
                <w:szCs w:val="21"/>
              </w:rPr>
            </w:pPr>
            <w:r>
              <w:rPr>
                <w:rFonts w:hint="eastAsia" w:ascii="宋体" w:hAnsi="宋体" w:eastAsia="宋体" w:cs="宋体"/>
                <w:sz w:val="21"/>
                <w:szCs w:val="21"/>
              </w:rPr>
              <w:t>其他商务条款偏离情况</w:t>
            </w:r>
          </w:p>
        </w:tc>
        <w:tc>
          <w:tcPr>
            <w:tcW w:w="800" w:type="dxa"/>
            <w:noWrap w:val="0"/>
            <w:vAlign w:val="center"/>
          </w:tcPr>
          <w:p w14:paraId="2BB989B7">
            <w:pPr>
              <w:widowControl/>
              <w:spacing w:line="260" w:lineRule="atLeast"/>
              <w:jc w:val="center"/>
              <w:rPr>
                <w:rFonts w:hint="eastAsia" w:ascii="宋体" w:hAnsi="宋体" w:eastAsia="宋体" w:cs="宋体"/>
                <w:color w:val="000000"/>
                <w:sz w:val="21"/>
                <w:szCs w:val="21"/>
              </w:rPr>
            </w:pPr>
            <w:r>
              <w:rPr>
                <w:rFonts w:hint="eastAsia" w:ascii="宋体" w:hAnsi="宋体" w:cs="宋体"/>
                <w:color w:val="000000"/>
                <w:sz w:val="21"/>
                <w:szCs w:val="21"/>
                <w:lang w:val="en-US" w:eastAsia="zh-CN"/>
              </w:rPr>
              <w:t>3</w:t>
            </w:r>
            <w:r>
              <w:rPr>
                <w:rFonts w:hint="eastAsia" w:ascii="宋体" w:hAnsi="宋体" w:eastAsia="宋体" w:cs="宋体"/>
                <w:color w:val="000000"/>
                <w:sz w:val="21"/>
                <w:szCs w:val="21"/>
              </w:rPr>
              <w:t>分</w:t>
            </w:r>
          </w:p>
        </w:tc>
        <w:tc>
          <w:tcPr>
            <w:tcW w:w="1075" w:type="dxa"/>
            <w:noWrap w:val="0"/>
            <w:vAlign w:val="center"/>
          </w:tcPr>
          <w:p w14:paraId="128DEFAC">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专家打分</w:t>
            </w:r>
          </w:p>
        </w:tc>
        <w:tc>
          <w:tcPr>
            <w:tcW w:w="5538" w:type="dxa"/>
            <w:noWrap w:val="0"/>
            <w:vAlign w:val="top"/>
          </w:tcPr>
          <w:p w14:paraId="16B9024F">
            <w:pPr>
              <w:widowControl/>
              <w:wordWrap w:val="0"/>
              <w:jc w:val="left"/>
              <w:textAlignment w:val="top"/>
              <w:rPr>
                <w:rFonts w:hint="eastAsia" w:ascii="宋体" w:hAnsi="宋体" w:eastAsia="宋体" w:cs="宋体"/>
                <w:sz w:val="21"/>
                <w:szCs w:val="21"/>
              </w:rPr>
            </w:pPr>
            <w:r>
              <w:rPr>
                <w:rFonts w:hint="eastAsia" w:ascii="宋体" w:hAnsi="宋体" w:eastAsia="宋体" w:cs="宋体"/>
                <w:kern w:val="0"/>
                <w:sz w:val="21"/>
                <w:szCs w:val="21"/>
              </w:rPr>
              <w:t>投标人应如实填写《商务</w:t>
            </w:r>
            <w:r>
              <w:rPr>
                <w:rFonts w:hint="eastAsia" w:ascii="宋体" w:hAnsi="宋体" w:eastAsia="宋体" w:cs="宋体"/>
                <w:kern w:val="0"/>
                <w:sz w:val="21"/>
                <w:szCs w:val="21"/>
                <w:lang w:val="en-US" w:eastAsia="zh-CN"/>
              </w:rPr>
              <w:t>条款</w:t>
            </w:r>
            <w:r>
              <w:rPr>
                <w:rFonts w:hint="eastAsia" w:ascii="宋体" w:hAnsi="宋体" w:eastAsia="宋体" w:cs="宋体"/>
                <w:kern w:val="0"/>
                <w:sz w:val="21"/>
                <w:szCs w:val="21"/>
              </w:rPr>
              <w:t>偏离表》，评审委员会根据响应情况进行打分，全部满足要求的得</w:t>
            </w:r>
            <w:r>
              <w:rPr>
                <w:rFonts w:hint="eastAsia" w:ascii="宋体" w:hAnsi="宋体" w:eastAsia="宋体" w:cs="宋体"/>
                <w:kern w:val="0"/>
                <w:sz w:val="21"/>
                <w:szCs w:val="21"/>
                <w:lang w:val="en-US" w:eastAsia="zh-CN"/>
              </w:rPr>
              <w:t>3</w:t>
            </w:r>
            <w:r>
              <w:rPr>
                <w:rFonts w:hint="eastAsia" w:ascii="宋体" w:hAnsi="宋体" w:eastAsia="宋体" w:cs="宋体"/>
                <w:kern w:val="0"/>
                <w:sz w:val="21"/>
                <w:szCs w:val="21"/>
              </w:rPr>
              <w:t>分，每负偏离一项扣</w:t>
            </w:r>
            <w:r>
              <w:rPr>
                <w:rFonts w:hint="eastAsia" w:ascii="宋体" w:hAnsi="宋体" w:eastAsia="宋体" w:cs="宋体"/>
                <w:kern w:val="0"/>
                <w:sz w:val="21"/>
                <w:szCs w:val="21"/>
                <w:u w:val="single"/>
                <w:lang w:val="en-US" w:eastAsia="zh-CN"/>
              </w:rPr>
              <w:t xml:space="preserve">  0.2 </w:t>
            </w:r>
            <w:r>
              <w:rPr>
                <w:rFonts w:hint="eastAsia" w:ascii="宋体" w:hAnsi="宋体" w:eastAsia="宋体" w:cs="宋体"/>
                <w:kern w:val="0"/>
                <w:sz w:val="21"/>
                <w:szCs w:val="21"/>
              </w:rPr>
              <w:t>分，扣完为止。</w:t>
            </w:r>
          </w:p>
        </w:tc>
      </w:tr>
      <w:tr w14:paraId="61E7B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4" w:type="dxa"/>
            <w:noWrap w:val="0"/>
            <w:vAlign w:val="center"/>
          </w:tcPr>
          <w:p w14:paraId="0B90C543">
            <w:pPr>
              <w:spacing w:line="260" w:lineRule="atLeast"/>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4</w:t>
            </w:r>
          </w:p>
        </w:tc>
        <w:tc>
          <w:tcPr>
            <w:tcW w:w="1584" w:type="dxa"/>
            <w:noWrap w:val="0"/>
            <w:vAlign w:val="center"/>
          </w:tcPr>
          <w:p w14:paraId="0CF0CDA4">
            <w:pPr>
              <w:widowControl/>
              <w:spacing w:line="20" w:lineRule="atLeast"/>
              <w:jc w:val="center"/>
              <w:rPr>
                <w:rFonts w:hint="eastAsia" w:ascii="宋体" w:hAnsi="宋体" w:eastAsia="宋体" w:cs="宋体"/>
                <w:color w:val="000000"/>
                <w:kern w:val="0"/>
                <w:sz w:val="21"/>
                <w:szCs w:val="21"/>
              </w:rPr>
            </w:pPr>
            <w:r>
              <w:rPr>
                <w:rFonts w:hint="eastAsia" w:ascii="宋体" w:hAnsi="宋体" w:eastAsia="宋体" w:cs="宋体"/>
                <w:kern w:val="0"/>
                <w:sz w:val="21"/>
                <w:szCs w:val="21"/>
              </w:rPr>
              <w:t>诚信</w:t>
            </w:r>
          </w:p>
        </w:tc>
        <w:tc>
          <w:tcPr>
            <w:tcW w:w="800" w:type="dxa"/>
            <w:noWrap w:val="0"/>
            <w:vAlign w:val="center"/>
          </w:tcPr>
          <w:p w14:paraId="302C3C60">
            <w:pPr>
              <w:widowControl/>
              <w:spacing w:line="20" w:lineRule="atLeast"/>
              <w:jc w:val="center"/>
              <w:rPr>
                <w:rFonts w:hint="eastAsia" w:ascii="宋体" w:hAnsi="宋体" w:eastAsia="宋体" w:cs="宋体"/>
                <w:color w:val="000000"/>
                <w:sz w:val="21"/>
                <w:szCs w:val="21"/>
              </w:rPr>
            </w:pPr>
            <w:r>
              <w:rPr>
                <w:rFonts w:hint="eastAsia" w:ascii="宋体" w:hAnsi="宋体" w:eastAsia="宋体" w:cs="宋体"/>
                <w:kern w:val="0"/>
                <w:sz w:val="21"/>
                <w:szCs w:val="21"/>
                <w:lang w:val="en-US" w:eastAsia="zh-CN"/>
              </w:rPr>
              <w:t>3</w:t>
            </w:r>
            <w:r>
              <w:rPr>
                <w:rFonts w:hint="eastAsia" w:ascii="宋体" w:hAnsi="宋体" w:eastAsia="宋体" w:cs="宋体"/>
                <w:color w:val="000000"/>
                <w:sz w:val="21"/>
                <w:szCs w:val="21"/>
              </w:rPr>
              <w:t>分</w:t>
            </w:r>
          </w:p>
        </w:tc>
        <w:tc>
          <w:tcPr>
            <w:tcW w:w="1075" w:type="dxa"/>
            <w:noWrap w:val="0"/>
            <w:vAlign w:val="center"/>
          </w:tcPr>
          <w:p w14:paraId="48BCEC47">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专家打分</w:t>
            </w:r>
          </w:p>
        </w:tc>
        <w:tc>
          <w:tcPr>
            <w:tcW w:w="5538" w:type="dxa"/>
            <w:noWrap w:val="0"/>
            <w:vAlign w:val="top"/>
          </w:tcPr>
          <w:p w14:paraId="3FB774E0">
            <w:pPr>
              <w:widowControl/>
              <w:wordWrap w:val="0"/>
              <w:jc w:val="left"/>
              <w:textAlignment w:val="top"/>
              <w:rPr>
                <w:rFonts w:hint="eastAsia" w:ascii="宋体" w:hAnsi="宋体" w:eastAsia="宋体" w:cs="宋体"/>
                <w:kern w:val="0"/>
                <w:sz w:val="21"/>
                <w:szCs w:val="21"/>
              </w:rPr>
            </w:pPr>
            <w:r>
              <w:rPr>
                <w:rFonts w:hint="eastAsia" w:ascii="宋体" w:hAnsi="宋体" w:eastAsia="宋体" w:cs="宋体"/>
                <w:b/>
                <w:bCs/>
                <w:kern w:val="0"/>
                <w:sz w:val="21"/>
                <w:szCs w:val="21"/>
                <w:lang w:val="en-US" w:eastAsia="zh-CN"/>
              </w:rPr>
              <w:t>（1）</w:t>
            </w:r>
            <w:r>
              <w:rPr>
                <w:rFonts w:hint="eastAsia" w:ascii="宋体" w:hAnsi="宋体" w:eastAsia="宋体" w:cs="宋体"/>
                <w:b/>
                <w:bCs/>
                <w:kern w:val="0"/>
                <w:sz w:val="21"/>
                <w:szCs w:val="21"/>
              </w:rPr>
              <w:t>评分内容</w:t>
            </w:r>
          </w:p>
          <w:p w14:paraId="5DF2AB9D">
            <w:pPr>
              <w:widowControl/>
              <w:wordWrap w:val="0"/>
              <w:jc w:val="left"/>
              <w:textAlignment w:val="top"/>
              <w:rPr>
                <w:rFonts w:hint="eastAsia" w:ascii="宋体" w:hAnsi="宋体" w:eastAsia="宋体" w:cs="宋体"/>
                <w:kern w:val="0"/>
                <w:sz w:val="21"/>
                <w:szCs w:val="21"/>
              </w:rPr>
            </w:pPr>
            <w:r>
              <w:rPr>
                <w:rFonts w:hint="eastAsia" w:ascii="宋体" w:hAnsi="宋体" w:eastAsia="宋体" w:cs="宋体"/>
                <w:kern w:val="0"/>
                <w:sz w:val="21"/>
                <w:szCs w:val="21"/>
              </w:rPr>
              <w:t>供应商存在《深圳市财政局政府采购供应商信用信息管理办法》（深财规〔2023〕3号）列明的一般行政处罚信息、一般违法失信记录信息的，本项不得分，不存在上述情形的本项得</w:t>
            </w:r>
            <w:r>
              <w:rPr>
                <w:rFonts w:hint="eastAsia" w:ascii="宋体" w:hAnsi="宋体" w:eastAsia="宋体" w:cs="宋体"/>
                <w:kern w:val="0"/>
                <w:sz w:val="21"/>
                <w:szCs w:val="21"/>
                <w:lang w:val="en-US" w:eastAsia="zh-CN"/>
              </w:rPr>
              <w:t>3</w:t>
            </w:r>
            <w:r>
              <w:rPr>
                <w:rFonts w:hint="eastAsia" w:ascii="宋体" w:hAnsi="宋体" w:eastAsia="宋体" w:cs="宋体"/>
                <w:kern w:val="0"/>
                <w:sz w:val="21"/>
                <w:szCs w:val="21"/>
              </w:rPr>
              <w:t>分。</w:t>
            </w:r>
            <w:r>
              <w:rPr>
                <w:rFonts w:hint="eastAsia" w:ascii="宋体" w:hAnsi="宋体" w:eastAsia="宋体" w:cs="宋体"/>
                <w:color w:val="FF0000"/>
                <w:kern w:val="0"/>
                <w:sz w:val="21"/>
                <w:szCs w:val="21"/>
              </w:rPr>
              <w:t>供应商</w:t>
            </w:r>
            <w:r>
              <w:rPr>
                <w:rFonts w:hint="eastAsia" w:ascii="宋体" w:hAnsi="宋体" w:cs="宋体"/>
                <w:color w:val="FF0000"/>
                <w:kern w:val="0"/>
                <w:sz w:val="21"/>
                <w:szCs w:val="21"/>
                <w:lang w:val="en-US" w:eastAsia="zh-CN"/>
              </w:rPr>
              <w:t>需在投标文件中</w:t>
            </w:r>
            <w:r>
              <w:rPr>
                <w:rFonts w:hint="eastAsia" w:ascii="宋体" w:hAnsi="宋体" w:eastAsia="宋体" w:cs="宋体"/>
                <w:color w:val="FF0000"/>
                <w:kern w:val="0"/>
                <w:sz w:val="21"/>
                <w:szCs w:val="21"/>
              </w:rPr>
              <w:t>提供</w:t>
            </w:r>
            <w:r>
              <w:rPr>
                <w:rFonts w:hint="eastAsia" w:ascii="宋体" w:hAnsi="宋体" w:eastAsia="宋体" w:cs="宋体"/>
                <w:color w:val="FF0000"/>
                <w:kern w:val="0"/>
                <w:sz w:val="21"/>
                <w:szCs w:val="21"/>
                <w:lang w:val="en-US" w:eastAsia="zh-CN"/>
              </w:rPr>
              <w:t>加盖公章的</w:t>
            </w:r>
            <w:r>
              <w:rPr>
                <w:rFonts w:hint="eastAsia" w:ascii="宋体" w:hAnsi="宋体" w:eastAsia="宋体" w:cs="宋体"/>
                <w:color w:val="FF0000"/>
                <w:kern w:val="0"/>
                <w:sz w:val="21"/>
                <w:szCs w:val="21"/>
              </w:rPr>
              <w:t>证明材料。</w:t>
            </w:r>
          </w:p>
          <w:p w14:paraId="039DA4E1">
            <w:pPr>
              <w:widowControl/>
              <w:wordWrap w:val="0"/>
              <w:jc w:val="left"/>
              <w:textAlignment w:val="top"/>
              <w:rPr>
                <w:rFonts w:hint="eastAsia" w:ascii="宋体" w:hAnsi="宋体" w:eastAsia="宋体" w:cs="宋体"/>
                <w:b/>
                <w:bCs/>
                <w:kern w:val="0"/>
                <w:sz w:val="21"/>
                <w:szCs w:val="21"/>
              </w:rPr>
            </w:pPr>
            <w:r>
              <w:rPr>
                <w:rFonts w:hint="eastAsia" w:ascii="宋体" w:hAnsi="宋体" w:eastAsia="宋体" w:cs="宋体"/>
                <w:b/>
                <w:bCs/>
                <w:kern w:val="0"/>
                <w:sz w:val="21"/>
                <w:szCs w:val="21"/>
                <w:lang w:val="en-US" w:eastAsia="zh-CN"/>
              </w:rPr>
              <w:t>（2）</w:t>
            </w:r>
            <w:r>
              <w:rPr>
                <w:rFonts w:hint="eastAsia" w:ascii="宋体" w:hAnsi="宋体" w:eastAsia="宋体" w:cs="宋体"/>
                <w:b/>
                <w:bCs/>
                <w:kern w:val="0"/>
                <w:sz w:val="21"/>
                <w:szCs w:val="21"/>
              </w:rPr>
              <w:t>评分依据</w:t>
            </w:r>
          </w:p>
          <w:p w14:paraId="07335461">
            <w:pPr>
              <w:widowControl/>
              <w:wordWrap w:val="0"/>
              <w:jc w:val="left"/>
              <w:textAlignment w:val="top"/>
              <w:rPr>
                <w:rFonts w:hint="eastAsia" w:ascii="宋体" w:hAnsi="宋体" w:eastAsia="宋体" w:cs="宋体"/>
                <w:sz w:val="21"/>
                <w:szCs w:val="21"/>
              </w:rPr>
            </w:pPr>
            <w:r>
              <w:rPr>
                <w:rFonts w:hint="eastAsia" w:ascii="宋体" w:hAnsi="宋体" w:eastAsia="宋体" w:cs="宋体"/>
                <w:kern w:val="0"/>
                <w:sz w:val="21"/>
                <w:szCs w:val="21"/>
              </w:rPr>
              <w:t>查询渠道：通过“信用中国”（www.creditchina.gov.cn，下载信用信息报告）、“中国政府采购网”（www.ccgp.gov.cn）以及“深圳市政府采购监管网”（http://zfcg.sz.gov.cn）查询供应商信用信息，信用信息以开标</w:t>
            </w:r>
            <w:r>
              <w:rPr>
                <w:rFonts w:hint="eastAsia" w:ascii="宋体" w:hAnsi="宋体" w:eastAsia="宋体" w:cs="宋体"/>
                <w:kern w:val="0"/>
                <w:sz w:val="21"/>
                <w:szCs w:val="21"/>
                <w:lang w:val="en-US" w:eastAsia="zh-CN"/>
              </w:rPr>
              <w:t>前</w:t>
            </w:r>
            <w:r>
              <w:rPr>
                <w:rFonts w:hint="eastAsia" w:ascii="宋体" w:hAnsi="宋体" w:cs="宋体"/>
                <w:kern w:val="0"/>
                <w:sz w:val="21"/>
                <w:szCs w:val="21"/>
                <w:lang w:val="en-US" w:eastAsia="zh-CN"/>
              </w:rPr>
              <w:t>2</w:t>
            </w:r>
            <w:r>
              <w:rPr>
                <w:rFonts w:hint="eastAsia" w:ascii="宋体" w:hAnsi="宋体" w:eastAsia="宋体" w:cs="宋体"/>
                <w:kern w:val="0"/>
                <w:sz w:val="21"/>
                <w:szCs w:val="21"/>
                <w:lang w:val="en-US" w:eastAsia="zh-CN"/>
              </w:rPr>
              <w:t>周内</w:t>
            </w:r>
            <w:r>
              <w:rPr>
                <w:rFonts w:hint="eastAsia" w:ascii="宋体" w:hAnsi="宋体" w:eastAsia="宋体" w:cs="宋体"/>
                <w:kern w:val="0"/>
                <w:sz w:val="21"/>
                <w:szCs w:val="21"/>
              </w:rPr>
              <w:t>的查询结果为准。</w:t>
            </w:r>
          </w:p>
        </w:tc>
      </w:tr>
    </w:tbl>
    <w:p w14:paraId="45B83284">
      <w:pPr>
        <w:pStyle w:val="4"/>
        <w:bidi w:val="0"/>
        <w:rPr>
          <w:rFonts w:hint="eastAsia"/>
        </w:rPr>
      </w:pPr>
      <w:bookmarkStart w:id="9" w:name="_Toc25895"/>
      <w:bookmarkStart w:id="10" w:name="_Toc15996"/>
      <w:bookmarkStart w:id="11" w:name="_Toc18529"/>
      <w:r>
        <w:rPr>
          <w:rFonts w:hint="eastAsia"/>
          <w:lang w:eastAsia="zh-CN"/>
        </w:rPr>
        <w:t>（</w:t>
      </w:r>
      <w:r>
        <w:rPr>
          <w:rFonts w:hint="eastAsia"/>
          <w:lang w:val="en-US" w:eastAsia="zh-CN"/>
        </w:rPr>
        <w:t>三</w:t>
      </w:r>
      <w:r>
        <w:rPr>
          <w:rFonts w:hint="eastAsia"/>
          <w:lang w:eastAsia="zh-CN"/>
        </w:rPr>
        <w:t>）</w:t>
      </w:r>
      <w:r>
        <w:rPr>
          <w:rFonts w:hint="eastAsia"/>
        </w:rPr>
        <w:t>价格评价</w:t>
      </w:r>
      <w:r>
        <w:rPr>
          <w:rFonts w:hint="eastAsia"/>
          <w:lang w:eastAsia="zh-CN"/>
        </w:rPr>
        <w:t>（</w:t>
      </w:r>
      <w:r>
        <w:rPr>
          <w:rFonts w:hint="eastAsia"/>
          <w:u w:val="single"/>
          <w:lang w:val="en-US" w:eastAsia="zh-CN"/>
        </w:rPr>
        <w:t>30</w:t>
      </w:r>
      <w:r>
        <w:rPr>
          <w:rFonts w:hint="eastAsia"/>
          <w:lang w:val="en-US" w:eastAsia="zh-CN"/>
        </w:rPr>
        <w:t>分</w:t>
      </w:r>
      <w:r>
        <w:rPr>
          <w:rFonts w:hint="eastAsia"/>
          <w:lang w:eastAsia="zh-CN"/>
        </w:rPr>
        <w:t>）</w:t>
      </w:r>
      <w:r>
        <w:rPr>
          <w:rFonts w:hint="eastAsia"/>
        </w:rPr>
        <w:t>：</w:t>
      </w:r>
      <w:bookmarkEnd w:id="9"/>
      <w:bookmarkEnd w:id="10"/>
      <w:bookmarkEnd w:id="11"/>
    </w:p>
    <w:tbl>
      <w:tblPr>
        <w:tblStyle w:val="16"/>
        <w:tblW w:w="96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900"/>
        <w:gridCol w:w="7618"/>
      </w:tblGrid>
      <w:tr w14:paraId="3BC46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135" w:type="dxa"/>
            <w:noWrap w:val="0"/>
            <w:vAlign w:val="center"/>
          </w:tcPr>
          <w:p w14:paraId="19456C81">
            <w:pPr>
              <w:pStyle w:val="5"/>
              <w:ind w:firstLine="0"/>
              <w:jc w:val="center"/>
              <w:rPr>
                <w:rFonts w:hint="eastAsia" w:ascii="宋体" w:hAnsi="宋体" w:eastAsia="宋体" w:cs="宋体"/>
                <w:b/>
                <w:bCs/>
                <w:sz w:val="21"/>
                <w:szCs w:val="21"/>
              </w:rPr>
            </w:pPr>
            <w:r>
              <w:rPr>
                <w:rFonts w:hint="eastAsia" w:ascii="宋体" w:hAnsi="宋体" w:eastAsia="宋体" w:cs="宋体"/>
                <w:b/>
                <w:bCs/>
                <w:sz w:val="21"/>
                <w:szCs w:val="21"/>
              </w:rPr>
              <w:t>评审项目</w:t>
            </w:r>
          </w:p>
        </w:tc>
        <w:tc>
          <w:tcPr>
            <w:tcW w:w="900" w:type="dxa"/>
            <w:noWrap w:val="0"/>
            <w:vAlign w:val="center"/>
          </w:tcPr>
          <w:p w14:paraId="6E533B10">
            <w:pPr>
              <w:pStyle w:val="5"/>
              <w:ind w:firstLine="0"/>
              <w:jc w:val="center"/>
              <w:rPr>
                <w:rFonts w:hint="eastAsia" w:ascii="宋体" w:hAnsi="宋体" w:eastAsia="宋体" w:cs="宋体"/>
                <w:b/>
                <w:bCs/>
                <w:sz w:val="21"/>
                <w:szCs w:val="21"/>
              </w:rPr>
            </w:pPr>
            <w:r>
              <w:rPr>
                <w:rFonts w:hint="eastAsia" w:ascii="宋体" w:hAnsi="宋体" w:eastAsia="宋体" w:cs="宋体"/>
                <w:b/>
                <w:bCs/>
                <w:sz w:val="21"/>
                <w:szCs w:val="21"/>
              </w:rPr>
              <w:t>分值</w:t>
            </w:r>
          </w:p>
        </w:tc>
        <w:tc>
          <w:tcPr>
            <w:tcW w:w="7618" w:type="dxa"/>
            <w:noWrap w:val="0"/>
            <w:vAlign w:val="center"/>
          </w:tcPr>
          <w:p w14:paraId="50B4FEC7">
            <w:pPr>
              <w:pStyle w:val="5"/>
              <w:ind w:firstLine="0"/>
              <w:jc w:val="center"/>
              <w:rPr>
                <w:rFonts w:hint="eastAsia" w:ascii="宋体" w:hAnsi="宋体" w:eastAsia="宋体" w:cs="宋体"/>
                <w:b/>
                <w:bCs/>
                <w:sz w:val="21"/>
                <w:szCs w:val="21"/>
              </w:rPr>
            </w:pPr>
            <w:r>
              <w:rPr>
                <w:rFonts w:hint="eastAsia" w:ascii="宋体" w:hAnsi="宋体" w:eastAsia="宋体" w:cs="宋体"/>
                <w:b/>
                <w:bCs/>
                <w:sz w:val="21"/>
                <w:szCs w:val="21"/>
              </w:rPr>
              <w:t>评分细则</w:t>
            </w:r>
          </w:p>
        </w:tc>
      </w:tr>
      <w:tr w14:paraId="6C134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135" w:type="dxa"/>
            <w:noWrap w:val="0"/>
            <w:vAlign w:val="center"/>
          </w:tcPr>
          <w:p w14:paraId="44BE45A1">
            <w:pPr>
              <w:pStyle w:val="5"/>
              <w:ind w:firstLine="0"/>
              <w:jc w:val="center"/>
              <w:rPr>
                <w:rFonts w:hint="eastAsia" w:ascii="宋体" w:hAnsi="宋体" w:eastAsia="宋体" w:cs="宋体"/>
                <w:sz w:val="21"/>
                <w:szCs w:val="21"/>
              </w:rPr>
            </w:pPr>
            <w:r>
              <w:rPr>
                <w:rFonts w:hint="eastAsia" w:ascii="宋体" w:hAnsi="宋体" w:eastAsia="宋体" w:cs="宋体"/>
                <w:sz w:val="21"/>
                <w:szCs w:val="21"/>
              </w:rPr>
              <w:t>价格</w:t>
            </w:r>
          </w:p>
        </w:tc>
        <w:tc>
          <w:tcPr>
            <w:tcW w:w="900" w:type="dxa"/>
            <w:noWrap w:val="0"/>
            <w:vAlign w:val="center"/>
          </w:tcPr>
          <w:p w14:paraId="17CB086B">
            <w:pPr>
              <w:pStyle w:val="5"/>
              <w:ind w:firstLine="0"/>
              <w:jc w:val="center"/>
              <w:rPr>
                <w:rFonts w:hint="eastAsia" w:ascii="宋体" w:hAnsi="宋体" w:eastAsia="宋体" w:cs="宋体"/>
                <w:sz w:val="21"/>
                <w:szCs w:val="21"/>
              </w:rPr>
            </w:pPr>
            <w:r>
              <w:rPr>
                <w:rFonts w:hint="eastAsia" w:ascii="宋体" w:hAnsi="宋体" w:eastAsia="宋体" w:cs="宋体"/>
                <w:sz w:val="21"/>
                <w:szCs w:val="21"/>
              </w:rPr>
              <w:t>30分</w:t>
            </w:r>
          </w:p>
        </w:tc>
        <w:tc>
          <w:tcPr>
            <w:tcW w:w="7618" w:type="dxa"/>
            <w:noWrap w:val="0"/>
            <w:vAlign w:val="center"/>
          </w:tcPr>
          <w:p w14:paraId="1C037898">
            <w:pPr>
              <w:pStyle w:val="5"/>
              <w:ind w:firstLine="0"/>
              <w:rPr>
                <w:rFonts w:hint="eastAsia" w:ascii="宋体" w:hAnsi="宋体" w:eastAsia="宋体" w:cs="宋体"/>
                <w:sz w:val="21"/>
                <w:szCs w:val="21"/>
              </w:rPr>
            </w:pPr>
            <w:r>
              <w:rPr>
                <w:rFonts w:hint="eastAsia" w:ascii="宋体" w:hAnsi="宋体" w:eastAsia="宋体" w:cs="宋体"/>
                <w:sz w:val="21"/>
                <w:szCs w:val="21"/>
              </w:rPr>
              <w:t xml:space="preserve">采用低价优先法计算，即满足招标文件要求且投标价格最低的投标报价为评标基准价，其价格分为满分。其他投标人的价格分统一按照下列公式计算： </w:t>
            </w:r>
          </w:p>
          <w:p w14:paraId="022A0024">
            <w:pPr>
              <w:pStyle w:val="5"/>
              <w:ind w:firstLine="0"/>
              <w:rPr>
                <w:rFonts w:hint="eastAsia" w:ascii="宋体" w:hAnsi="宋体" w:eastAsia="宋体" w:cs="宋体"/>
                <w:sz w:val="21"/>
                <w:szCs w:val="21"/>
              </w:rPr>
            </w:pPr>
            <w:r>
              <w:rPr>
                <w:rFonts w:hint="eastAsia" w:ascii="宋体" w:hAnsi="宋体" w:eastAsia="宋体" w:cs="宋体"/>
                <w:sz w:val="21"/>
                <w:szCs w:val="21"/>
              </w:rPr>
              <w:t>投标报价得分=(评标基准价／投标报价)×30</w:t>
            </w:r>
          </w:p>
        </w:tc>
      </w:tr>
    </w:tbl>
    <w:p w14:paraId="21BC8B11">
      <w:pPr>
        <w:keepNext w:val="0"/>
        <w:keepLines w:val="0"/>
        <w:pageBreakBefore w:val="0"/>
        <w:widowControl w:val="0"/>
        <w:kinsoku/>
        <w:wordWrap/>
        <w:overflowPunct/>
        <w:topLinePunct w:val="0"/>
        <w:autoSpaceDE/>
        <w:autoSpaceDN/>
        <w:bidi w:val="0"/>
        <w:adjustRightInd/>
        <w:snapToGrid/>
        <w:spacing w:before="381" w:beforeLines="100" w:line="240" w:lineRule="auto"/>
        <w:textAlignment w:val="auto"/>
        <w:rPr>
          <w:rFonts w:ascii="宋体" w:hAnsi="宋体"/>
          <w:sz w:val="24"/>
          <w:szCs w:val="24"/>
        </w:rPr>
      </w:pPr>
      <w:r>
        <w:rPr>
          <w:rFonts w:hint="eastAsia" w:ascii="宋体" w:hAnsi="宋体"/>
          <w:sz w:val="24"/>
          <w:szCs w:val="24"/>
        </w:rPr>
        <w:t>注：1、每项得分均不能超过该项最高分值，得分精确至小数点后两位。</w:t>
      </w:r>
    </w:p>
    <w:p w14:paraId="120E680E">
      <w:pPr>
        <w:keepNext w:val="0"/>
        <w:keepLines w:val="0"/>
        <w:pageBreakBefore w:val="0"/>
        <w:widowControl w:val="0"/>
        <w:numPr>
          <w:ilvl w:val="0"/>
          <w:numId w:val="3"/>
        </w:numPr>
        <w:kinsoku/>
        <w:wordWrap/>
        <w:overflowPunct/>
        <w:topLinePunct w:val="0"/>
        <w:autoSpaceDE/>
        <w:autoSpaceDN/>
        <w:bidi w:val="0"/>
        <w:adjustRightInd/>
        <w:snapToGrid/>
        <w:spacing w:line="240" w:lineRule="auto"/>
        <w:ind w:firstLine="480" w:firstLineChars="200"/>
        <w:textAlignment w:val="auto"/>
        <w:rPr>
          <w:rFonts w:hint="eastAsia" w:ascii="宋体" w:hAnsi="宋体"/>
          <w:sz w:val="24"/>
          <w:szCs w:val="24"/>
        </w:rPr>
      </w:pPr>
      <w:r>
        <w:rPr>
          <w:rFonts w:hint="eastAsia" w:ascii="宋体" w:hAnsi="宋体"/>
          <w:sz w:val="24"/>
          <w:szCs w:val="24"/>
        </w:rPr>
        <w:t>缺项或不合格，则该项为0分。</w:t>
      </w:r>
    </w:p>
    <w:p w14:paraId="6D3E160D">
      <w:pPr>
        <w:pStyle w:val="6"/>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firstLine="480" w:firstLineChars="200"/>
        <w:jc w:val="both"/>
        <w:textAlignment w:val="auto"/>
        <w:rPr>
          <w:rFonts w:hint="eastAsia"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带“★”</w:t>
      </w:r>
      <w:r>
        <w:rPr>
          <w:rFonts w:hint="eastAsia" w:cs="宋体"/>
          <w:color w:val="000000" w:themeColor="text1"/>
          <w:sz w:val="24"/>
          <w:szCs w:val="24"/>
          <w:lang w:val="en-US" w:eastAsia="zh-CN"/>
          <w14:textFill>
            <w14:solidFill>
              <w14:schemeClr w14:val="tx1"/>
            </w14:solidFill>
          </w14:textFill>
        </w:rPr>
        <w:t>的参数</w:t>
      </w:r>
      <w:r>
        <w:rPr>
          <w:rFonts w:hint="eastAsia" w:ascii="宋体" w:hAnsi="宋体" w:eastAsia="宋体" w:cs="宋体"/>
          <w:color w:val="000000" w:themeColor="text1"/>
          <w:sz w:val="24"/>
          <w:szCs w:val="24"/>
          <w14:textFill>
            <w14:solidFill>
              <w14:schemeClr w14:val="tx1"/>
            </w14:solidFill>
          </w14:textFill>
        </w:rPr>
        <w:t>为</w:t>
      </w:r>
      <w:r>
        <w:rPr>
          <w:rFonts w:hint="eastAsia" w:cs="宋体"/>
          <w:color w:val="000000" w:themeColor="text1"/>
          <w:sz w:val="24"/>
          <w:szCs w:val="24"/>
          <w:lang w:val="en-US" w:eastAsia="zh-CN"/>
          <w14:textFill>
            <w14:solidFill>
              <w14:schemeClr w14:val="tx1"/>
            </w14:solidFill>
          </w14:textFill>
        </w:rPr>
        <w:t>实质性</w:t>
      </w:r>
      <w:r>
        <w:rPr>
          <w:rFonts w:hint="eastAsia" w:ascii="宋体" w:hAnsi="宋体" w:eastAsia="宋体" w:cs="宋体"/>
          <w:color w:val="000000" w:themeColor="text1"/>
          <w:sz w:val="24"/>
          <w:szCs w:val="24"/>
          <w14:textFill>
            <w14:solidFill>
              <w14:schemeClr w14:val="tx1"/>
            </w14:solidFill>
          </w14:textFill>
        </w:rPr>
        <w:t>参数</w:t>
      </w:r>
      <w:r>
        <w:rPr>
          <w:rFonts w:hint="eastAsia" w:cs="宋体"/>
          <w:color w:val="000000" w:themeColor="text1"/>
          <w:sz w:val="24"/>
          <w:szCs w:val="24"/>
          <w:lang w:eastAsia="zh-CN"/>
          <w14:textFill>
            <w14:solidFill>
              <w14:schemeClr w14:val="tx1"/>
            </w14:solidFill>
          </w14:textFill>
        </w:rPr>
        <w:t>，</w:t>
      </w:r>
      <w:r>
        <w:rPr>
          <w:rFonts w:hint="eastAsia" w:cs="宋体"/>
          <w:color w:val="000000" w:themeColor="text1"/>
          <w:sz w:val="24"/>
          <w:szCs w:val="24"/>
          <w:lang w:val="en-US" w:eastAsia="zh-CN"/>
          <w14:textFill>
            <w14:solidFill>
              <w14:schemeClr w14:val="tx1"/>
            </w14:solidFill>
          </w14:textFill>
        </w:rPr>
        <w:t>达不到招标文件要求的，该投标文件不通过。</w:t>
      </w:r>
    </w:p>
    <w:p w14:paraId="76EE305A">
      <w:pPr>
        <w:pStyle w:val="6"/>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注：如无特殊说明，所有评分项的证明文件均需加盖投标人公章。</w:t>
      </w:r>
    </w:p>
    <w:p w14:paraId="7E4F00A9">
      <w:pPr>
        <w:pStyle w:val="6"/>
        <w:numPr>
          <w:ilvl w:val="0"/>
          <w:numId w:val="3"/>
        </w:numPr>
        <w:ind w:left="0" w:leftChars="0" w:firstLine="482" w:firstLineChars="200"/>
        <w:jc w:val="both"/>
        <w:rPr>
          <w:rFonts w:hint="eastAsia" w:asciiTheme="minorEastAsia" w:hAnsiTheme="minorEastAsia" w:eastAsiaTheme="minorEastAsia"/>
          <w:b/>
          <w:sz w:val="24"/>
          <w:szCs w:val="24"/>
          <w:u w:val="single"/>
        </w:rPr>
      </w:pPr>
      <w:r>
        <w:rPr>
          <w:rFonts w:hint="eastAsia" w:asciiTheme="minorEastAsia" w:hAnsiTheme="minorEastAsia" w:eastAsiaTheme="minorEastAsia"/>
          <w:b/>
          <w:sz w:val="24"/>
          <w:szCs w:val="24"/>
          <w:u w:val="single"/>
        </w:rPr>
        <w:br w:type="page"/>
      </w:r>
    </w:p>
    <w:p w14:paraId="4A7C05D2">
      <w:pPr>
        <w:pStyle w:val="4"/>
        <w:bidi w:val="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二、采购清单</w:t>
      </w:r>
    </w:p>
    <w:tbl>
      <w:tblPr>
        <w:tblStyle w:val="16"/>
        <w:tblW w:w="501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2"/>
        <w:gridCol w:w="1755"/>
        <w:gridCol w:w="1088"/>
        <w:gridCol w:w="705"/>
        <w:gridCol w:w="1230"/>
        <w:gridCol w:w="1242"/>
        <w:gridCol w:w="1200"/>
        <w:gridCol w:w="1077"/>
      </w:tblGrid>
      <w:tr w14:paraId="6ADE2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79" w:type="pct"/>
            <w:vAlign w:val="center"/>
          </w:tcPr>
          <w:p w14:paraId="1BA5E9F1">
            <w:pPr>
              <w:keepNext w:val="0"/>
              <w:keepLines w:val="0"/>
              <w:pageBreakBefore w:val="0"/>
              <w:numPr>
                <w:ilvl w:val="0"/>
                <w:numId w:val="0"/>
              </w:numPr>
              <w:wordWrap/>
              <w:overflowPunct/>
              <w:topLinePunct w:val="0"/>
              <w:bidi w:val="0"/>
              <w:snapToGrid w:val="0"/>
              <w:spacing w:line="380" w:lineRule="exact"/>
              <w:jc w:val="center"/>
              <w:rPr>
                <w:rFonts w:hint="default" w:ascii="Times New Roman" w:hAnsi="Times New Roman" w:eastAsia="宋体" w:cs="Times New Roman"/>
                <w:b/>
                <w:bCs w:val="0"/>
                <w:sz w:val="21"/>
                <w:szCs w:val="21"/>
              </w:rPr>
            </w:pPr>
            <w:bookmarkStart w:id="12" w:name="OLE_LINK2"/>
            <w:r>
              <w:rPr>
                <w:rFonts w:hint="default" w:ascii="Times New Roman" w:hAnsi="Times New Roman" w:eastAsia="宋体" w:cs="Times New Roman"/>
                <w:b/>
                <w:bCs w:val="0"/>
                <w:sz w:val="21"/>
                <w:szCs w:val="21"/>
              </w:rPr>
              <w:t>序号</w:t>
            </w:r>
          </w:p>
        </w:tc>
        <w:tc>
          <w:tcPr>
            <w:tcW w:w="977" w:type="pct"/>
            <w:vAlign w:val="center"/>
          </w:tcPr>
          <w:p w14:paraId="5A8AB554">
            <w:pPr>
              <w:keepNext w:val="0"/>
              <w:keepLines w:val="0"/>
              <w:pageBreakBefore w:val="0"/>
              <w:numPr>
                <w:ilvl w:val="0"/>
                <w:numId w:val="0"/>
              </w:numPr>
              <w:wordWrap/>
              <w:overflowPunct/>
              <w:topLinePunct w:val="0"/>
              <w:bidi w:val="0"/>
              <w:snapToGrid w:val="0"/>
              <w:spacing w:line="380" w:lineRule="exact"/>
              <w:jc w:val="center"/>
              <w:rPr>
                <w:rFonts w:hint="default" w:ascii="Times New Roman" w:hAnsi="Times New Roman" w:eastAsia="宋体" w:cs="Times New Roman"/>
                <w:b/>
                <w:bCs w:val="0"/>
                <w:sz w:val="21"/>
                <w:szCs w:val="21"/>
              </w:rPr>
            </w:pPr>
            <w:r>
              <w:rPr>
                <w:rFonts w:hint="default" w:ascii="Times New Roman" w:hAnsi="Times New Roman" w:eastAsia="宋体" w:cs="Times New Roman"/>
                <w:b/>
                <w:bCs w:val="0"/>
                <w:sz w:val="21"/>
                <w:szCs w:val="21"/>
              </w:rPr>
              <w:t>货物名称</w:t>
            </w:r>
          </w:p>
          <w:p w14:paraId="126813C2">
            <w:pPr>
              <w:keepNext w:val="0"/>
              <w:keepLines w:val="0"/>
              <w:pageBreakBefore w:val="0"/>
              <w:numPr>
                <w:ilvl w:val="0"/>
                <w:numId w:val="0"/>
              </w:numPr>
              <w:wordWrap/>
              <w:overflowPunct/>
              <w:topLinePunct w:val="0"/>
              <w:bidi w:val="0"/>
              <w:snapToGrid w:val="0"/>
              <w:spacing w:line="380" w:lineRule="exact"/>
              <w:jc w:val="center"/>
              <w:rPr>
                <w:rFonts w:hint="default" w:ascii="Times New Roman" w:hAnsi="Times New Roman" w:eastAsia="宋体" w:cs="Times New Roman"/>
                <w:b/>
                <w:bCs w:val="0"/>
                <w:sz w:val="21"/>
                <w:szCs w:val="21"/>
              </w:rPr>
            </w:pPr>
            <w:r>
              <w:rPr>
                <w:rFonts w:hint="default" w:ascii="Times New Roman" w:hAnsi="Times New Roman" w:eastAsia="宋体" w:cs="Times New Roman"/>
                <w:b/>
                <w:bCs w:val="0"/>
                <w:sz w:val="21"/>
                <w:szCs w:val="21"/>
              </w:rPr>
              <w:t>（标的名称）</w:t>
            </w:r>
          </w:p>
        </w:tc>
        <w:tc>
          <w:tcPr>
            <w:tcW w:w="605" w:type="pct"/>
            <w:vAlign w:val="center"/>
          </w:tcPr>
          <w:p w14:paraId="17052388">
            <w:pPr>
              <w:keepNext w:val="0"/>
              <w:keepLines w:val="0"/>
              <w:pageBreakBefore w:val="0"/>
              <w:numPr>
                <w:ilvl w:val="0"/>
                <w:numId w:val="0"/>
              </w:numPr>
              <w:wordWrap/>
              <w:overflowPunct/>
              <w:topLinePunct w:val="0"/>
              <w:bidi w:val="0"/>
              <w:snapToGrid w:val="0"/>
              <w:spacing w:line="380" w:lineRule="exact"/>
              <w:jc w:val="center"/>
              <w:rPr>
                <w:rFonts w:hint="default" w:ascii="Times New Roman" w:hAnsi="Times New Roman" w:eastAsia="宋体" w:cs="Times New Roman"/>
                <w:b/>
                <w:bCs w:val="0"/>
                <w:sz w:val="21"/>
                <w:szCs w:val="21"/>
                <w:lang w:val="en-US" w:eastAsia="zh-CN"/>
              </w:rPr>
            </w:pPr>
            <w:r>
              <w:rPr>
                <w:rFonts w:hint="default" w:ascii="Times New Roman" w:hAnsi="Times New Roman" w:eastAsia="宋体" w:cs="Times New Roman"/>
                <w:b/>
                <w:bCs w:val="0"/>
                <w:sz w:val="21"/>
                <w:szCs w:val="21"/>
                <w:lang w:val="en-US" w:eastAsia="zh-CN"/>
              </w:rPr>
              <w:t>计量单位</w:t>
            </w:r>
          </w:p>
        </w:tc>
        <w:tc>
          <w:tcPr>
            <w:tcW w:w="392" w:type="pct"/>
            <w:vAlign w:val="center"/>
          </w:tcPr>
          <w:p w14:paraId="064FF987">
            <w:pPr>
              <w:keepNext w:val="0"/>
              <w:keepLines w:val="0"/>
              <w:pageBreakBefore w:val="0"/>
              <w:numPr>
                <w:ilvl w:val="0"/>
                <w:numId w:val="0"/>
              </w:numPr>
              <w:wordWrap/>
              <w:overflowPunct/>
              <w:topLinePunct w:val="0"/>
              <w:bidi w:val="0"/>
              <w:snapToGrid w:val="0"/>
              <w:spacing w:line="380" w:lineRule="exact"/>
              <w:jc w:val="center"/>
              <w:rPr>
                <w:rFonts w:hint="default" w:ascii="Times New Roman" w:hAnsi="Times New Roman" w:eastAsia="宋体" w:cs="Times New Roman"/>
                <w:b/>
                <w:bCs w:val="0"/>
                <w:sz w:val="21"/>
                <w:szCs w:val="21"/>
              </w:rPr>
            </w:pPr>
            <w:r>
              <w:rPr>
                <w:rFonts w:hint="default" w:ascii="Times New Roman" w:hAnsi="Times New Roman" w:eastAsia="宋体" w:cs="Times New Roman"/>
                <w:b/>
                <w:bCs w:val="0"/>
                <w:sz w:val="21"/>
                <w:szCs w:val="21"/>
              </w:rPr>
              <w:t>数量</w:t>
            </w:r>
          </w:p>
        </w:tc>
        <w:tc>
          <w:tcPr>
            <w:tcW w:w="684" w:type="pct"/>
            <w:vAlign w:val="center"/>
          </w:tcPr>
          <w:p w14:paraId="35155839">
            <w:pPr>
              <w:keepNext w:val="0"/>
              <w:keepLines w:val="0"/>
              <w:pageBreakBefore w:val="0"/>
              <w:numPr>
                <w:ilvl w:val="0"/>
                <w:numId w:val="0"/>
              </w:numPr>
              <w:wordWrap/>
              <w:overflowPunct/>
              <w:topLinePunct w:val="0"/>
              <w:bidi w:val="0"/>
              <w:snapToGrid w:val="0"/>
              <w:spacing w:line="380" w:lineRule="exact"/>
              <w:jc w:val="center"/>
              <w:rPr>
                <w:rFonts w:hint="default" w:ascii="Times New Roman" w:hAnsi="Times New Roman" w:eastAsia="宋体" w:cs="Times New Roman"/>
                <w:b/>
                <w:bCs w:val="0"/>
                <w:sz w:val="21"/>
                <w:szCs w:val="21"/>
              </w:rPr>
            </w:pPr>
            <w:r>
              <w:rPr>
                <w:rFonts w:hint="default" w:ascii="Times New Roman" w:hAnsi="Times New Roman" w:eastAsia="宋体" w:cs="Times New Roman"/>
                <w:b/>
                <w:bCs w:val="0"/>
                <w:sz w:val="21"/>
                <w:szCs w:val="21"/>
                <w:lang w:val="en-US" w:eastAsia="zh-CN"/>
              </w:rPr>
              <w:t>预算</w:t>
            </w:r>
            <w:r>
              <w:rPr>
                <w:rFonts w:hint="default" w:ascii="Times New Roman" w:hAnsi="Times New Roman" w:eastAsia="宋体" w:cs="Times New Roman"/>
                <w:b/>
                <w:bCs w:val="0"/>
                <w:sz w:val="21"/>
                <w:szCs w:val="21"/>
              </w:rPr>
              <w:t>单价（元）</w:t>
            </w:r>
          </w:p>
        </w:tc>
        <w:tc>
          <w:tcPr>
            <w:tcW w:w="691" w:type="pct"/>
            <w:vAlign w:val="center"/>
          </w:tcPr>
          <w:p w14:paraId="16F0C521">
            <w:pPr>
              <w:keepNext w:val="0"/>
              <w:keepLines w:val="0"/>
              <w:pageBreakBefore w:val="0"/>
              <w:numPr>
                <w:ilvl w:val="0"/>
                <w:numId w:val="0"/>
              </w:numPr>
              <w:wordWrap/>
              <w:overflowPunct/>
              <w:topLinePunct w:val="0"/>
              <w:bidi w:val="0"/>
              <w:snapToGrid w:val="0"/>
              <w:spacing w:line="380" w:lineRule="exact"/>
              <w:jc w:val="center"/>
              <w:rPr>
                <w:rFonts w:hint="default" w:ascii="Times New Roman" w:hAnsi="Times New Roman" w:eastAsia="宋体" w:cs="Times New Roman"/>
                <w:b/>
                <w:bCs w:val="0"/>
                <w:sz w:val="21"/>
                <w:szCs w:val="21"/>
              </w:rPr>
            </w:pPr>
            <w:r>
              <w:rPr>
                <w:rFonts w:hint="default" w:ascii="Times New Roman" w:hAnsi="Times New Roman" w:eastAsia="宋体" w:cs="Times New Roman"/>
                <w:b/>
                <w:bCs w:val="0"/>
                <w:sz w:val="21"/>
                <w:szCs w:val="21"/>
                <w:lang w:val="en-US" w:eastAsia="zh-CN"/>
              </w:rPr>
              <w:t>预算</w:t>
            </w:r>
            <w:r>
              <w:rPr>
                <w:rFonts w:hint="default" w:ascii="Times New Roman" w:hAnsi="Times New Roman" w:eastAsia="宋体" w:cs="Times New Roman"/>
                <w:b/>
                <w:bCs w:val="0"/>
                <w:sz w:val="21"/>
                <w:szCs w:val="21"/>
              </w:rPr>
              <w:t>总价（元）</w:t>
            </w:r>
          </w:p>
        </w:tc>
        <w:tc>
          <w:tcPr>
            <w:tcW w:w="668" w:type="pct"/>
            <w:vAlign w:val="center"/>
          </w:tcPr>
          <w:p w14:paraId="0C77F4C8">
            <w:pPr>
              <w:keepNext w:val="0"/>
              <w:keepLines w:val="0"/>
              <w:pageBreakBefore w:val="0"/>
              <w:numPr>
                <w:ilvl w:val="0"/>
                <w:numId w:val="0"/>
              </w:numPr>
              <w:wordWrap/>
              <w:overflowPunct/>
              <w:topLinePunct w:val="0"/>
              <w:bidi w:val="0"/>
              <w:snapToGrid w:val="0"/>
              <w:spacing w:line="380" w:lineRule="exact"/>
              <w:jc w:val="center"/>
              <w:rPr>
                <w:rFonts w:hint="default" w:ascii="Times New Roman" w:hAnsi="Times New Roman" w:eastAsia="宋体" w:cs="Times New Roman"/>
                <w:b/>
                <w:bCs w:val="0"/>
                <w:sz w:val="21"/>
                <w:szCs w:val="21"/>
              </w:rPr>
            </w:pPr>
            <w:r>
              <w:rPr>
                <w:rFonts w:hint="default" w:ascii="Times New Roman" w:hAnsi="Times New Roman" w:eastAsia="宋体" w:cs="Times New Roman"/>
                <w:b/>
                <w:bCs w:val="0"/>
                <w:sz w:val="21"/>
                <w:szCs w:val="21"/>
              </w:rPr>
              <w:t>财政预算限额（元）</w:t>
            </w:r>
          </w:p>
        </w:tc>
        <w:tc>
          <w:tcPr>
            <w:tcW w:w="599" w:type="pct"/>
            <w:vAlign w:val="center"/>
          </w:tcPr>
          <w:p w14:paraId="5F93A5AC">
            <w:pPr>
              <w:keepNext w:val="0"/>
              <w:keepLines w:val="0"/>
              <w:pageBreakBefore w:val="0"/>
              <w:numPr>
                <w:ilvl w:val="0"/>
                <w:numId w:val="0"/>
              </w:numPr>
              <w:wordWrap/>
              <w:overflowPunct/>
              <w:topLinePunct w:val="0"/>
              <w:bidi w:val="0"/>
              <w:snapToGrid w:val="0"/>
              <w:spacing w:line="380" w:lineRule="exact"/>
              <w:jc w:val="center"/>
              <w:rPr>
                <w:rFonts w:hint="default" w:ascii="Times New Roman" w:hAnsi="Times New Roman" w:eastAsia="宋体" w:cs="Times New Roman"/>
                <w:b/>
                <w:bCs w:val="0"/>
                <w:sz w:val="21"/>
                <w:szCs w:val="21"/>
                <w:lang w:val="en-US" w:eastAsia="zh-CN"/>
              </w:rPr>
            </w:pPr>
            <w:r>
              <w:rPr>
                <w:rFonts w:hint="default" w:ascii="Times New Roman" w:hAnsi="Times New Roman" w:eastAsia="宋体" w:cs="Times New Roman"/>
                <w:b/>
                <w:bCs w:val="0"/>
                <w:sz w:val="21"/>
                <w:szCs w:val="21"/>
                <w:lang w:val="en-US" w:eastAsia="zh-CN"/>
              </w:rPr>
              <w:t>是否</w:t>
            </w:r>
          </w:p>
          <w:p w14:paraId="5122E36A">
            <w:pPr>
              <w:keepNext w:val="0"/>
              <w:keepLines w:val="0"/>
              <w:pageBreakBefore w:val="0"/>
              <w:numPr>
                <w:ilvl w:val="0"/>
                <w:numId w:val="0"/>
              </w:numPr>
              <w:wordWrap/>
              <w:overflowPunct/>
              <w:topLinePunct w:val="0"/>
              <w:bidi w:val="0"/>
              <w:snapToGrid w:val="0"/>
              <w:spacing w:line="380" w:lineRule="exact"/>
              <w:jc w:val="center"/>
              <w:rPr>
                <w:rFonts w:hint="default" w:ascii="Times New Roman" w:hAnsi="Times New Roman" w:eastAsia="宋体" w:cs="Times New Roman"/>
                <w:b/>
                <w:bCs w:val="0"/>
                <w:sz w:val="21"/>
                <w:szCs w:val="21"/>
                <w:lang w:val="en-US" w:eastAsia="zh-CN"/>
              </w:rPr>
            </w:pPr>
            <w:r>
              <w:rPr>
                <w:rFonts w:hint="default" w:ascii="Times New Roman" w:hAnsi="Times New Roman" w:eastAsia="宋体" w:cs="Times New Roman"/>
                <w:b/>
                <w:bCs w:val="0"/>
                <w:sz w:val="21"/>
                <w:szCs w:val="21"/>
                <w:lang w:val="en-US" w:eastAsia="zh-CN"/>
              </w:rPr>
              <w:t>进口</w:t>
            </w:r>
          </w:p>
        </w:tc>
      </w:tr>
      <w:tr w14:paraId="587A5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79" w:type="pct"/>
            <w:vAlign w:val="center"/>
          </w:tcPr>
          <w:p w14:paraId="5B791507">
            <w:pPr>
              <w:keepNext w:val="0"/>
              <w:keepLines w:val="0"/>
              <w:pageBreakBefore w:val="0"/>
              <w:numPr>
                <w:ilvl w:val="0"/>
                <w:numId w:val="0"/>
              </w:numPr>
              <w:wordWrap/>
              <w:overflowPunct/>
              <w:topLinePunct w:val="0"/>
              <w:bidi w:val="0"/>
              <w:snapToGrid w:val="0"/>
              <w:spacing w:line="380" w:lineRule="exact"/>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1</w:t>
            </w:r>
          </w:p>
        </w:tc>
        <w:tc>
          <w:tcPr>
            <w:tcW w:w="977" w:type="pct"/>
            <w:vAlign w:val="center"/>
          </w:tcPr>
          <w:p w14:paraId="78229B3D">
            <w:pPr>
              <w:keepNext w:val="0"/>
              <w:keepLines w:val="0"/>
              <w:pageBreakBefore w:val="0"/>
              <w:numPr>
                <w:ilvl w:val="0"/>
                <w:numId w:val="0"/>
              </w:numPr>
              <w:wordWrap/>
              <w:overflowPunct/>
              <w:topLinePunct w:val="0"/>
              <w:bidi w:val="0"/>
              <w:snapToGrid w:val="0"/>
              <w:spacing w:line="380" w:lineRule="exact"/>
              <w:jc w:val="center"/>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rPr>
              <w:t>碳13呼气检测仪</w:t>
            </w:r>
          </w:p>
        </w:tc>
        <w:tc>
          <w:tcPr>
            <w:tcW w:w="605" w:type="pct"/>
            <w:vAlign w:val="center"/>
          </w:tcPr>
          <w:p w14:paraId="52B4BDAF">
            <w:pPr>
              <w:keepNext w:val="0"/>
              <w:keepLines w:val="0"/>
              <w:pageBreakBefore w:val="0"/>
              <w:numPr>
                <w:ilvl w:val="0"/>
                <w:numId w:val="0"/>
              </w:numPr>
              <w:wordWrap/>
              <w:overflowPunct/>
              <w:topLinePunct w:val="0"/>
              <w:bidi w:val="0"/>
              <w:snapToGrid w:val="0"/>
              <w:spacing w:line="380" w:lineRule="exact"/>
              <w:jc w:val="center"/>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台/套</w:t>
            </w:r>
          </w:p>
        </w:tc>
        <w:tc>
          <w:tcPr>
            <w:tcW w:w="392" w:type="pct"/>
            <w:vAlign w:val="center"/>
          </w:tcPr>
          <w:p w14:paraId="088E63C3">
            <w:pPr>
              <w:keepNext w:val="0"/>
              <w:keepLines w:val="0"/>
              <w:pageBreakBefore w:val="0"/>
              <w:numPr>
                <w:ilvl w:val="0"/>
                <w:numId w:val="0"/>
              </w:numPr>
              <w:wordWrap/>
              <w:overflowPunct/>
              <w:topLinePunct w:val="0"/>
              <w:bidi w:val="0"/>
              <w:snapToGrid w:val="0"/>
              <w:spacing w:line="380" w:lineRule="exact"/>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1</w:t>
            </w:r>
          </w:p>
        </w:tc>
        <w:tc>
          <w:tcPr>
            <w:tcW w:w="684" w:type="pct"/>
            <w:vAlign w:val="center"/>
          </w:tcPr>
          <w:p w14:paraId="5F4483CD">
            <w:pPr>
              <w:keepNext w:val="0"/>
              <w:keepLines w:val="0"/>
              <w:pageBreakBefore w:val="0"/>
              <w:numPr>
                <w:ilvl w:val="0"/>
                <w:numId w:val="0"/>
              </w:numPr>
              <w:wordWrap/>
              <w:overflowPunct/>
              <w:topLinePunct w:val="0"/>
              <w:bidi w:val="0"/>
              <w:snapToGrid w:val="0"/>
              <w:spacing w:line="380" w:lineRule="exact"/>
              <w:jc w:val="center"/>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25,000</w:t>
            </w:r>
          </w:p>
        </w:tc>
        <w:tc>
          <w:tcPr>
            <w:tcW w:w="691" w:type="pct"/>
            <w:vAlign w:val="center"/>
          </w:tcPr>
          <w:p w14:paraId="25A96E25">
            <w:pPr>
              <w:keepNext w:val="0"/>
              <w:keepLines w:val="0"/>
              <w:pageBreakBefore w:val="0"/>
              <w:numPr>
                <w:ilvl w:val="0"/>
                <w:numId w:val="0"/>
              </w:numPr>
              <w:wordWrap/>
              <w:overflowPunct/>
              <w:topLinePunct w:val="0"/>
              <w:bidi w:val="0"/>
              <w:snapToGrid w:val="0"/>
              <w:spacing w:line="380" w:lineRule="exact"/>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lang w:val="en-US" w:eastAsia="zh-CN"/>
              </w:rPr>
              <w:t>25,000</w:t>
            </w:r>
          </w:p>
        </w:tc>
        <w:tc>
          <w:tcPr>
            <w:tcW w:w="668" w:type="pct"/>
            <w:vAlign w:val="center"/>
          </w:tcPr>
          <w:p w14:paraId="2AD9D634">
            <w:pPr>
              <w:keepNext w:val="0"/>
              <w:keepLines w:val="0"/>
              <w:pageBreakBefore w:val="0"/>
              <w:numPr>
                <w:ilvl w:val="0"/>
                <w:numId w:val="0"/>
              </w:numPr>
              <w:wordWrap/>
              <w:overflowPunct/>
              <w:topLinePunct w:val="0"/>
              <w:bidi w:val="0"/>
              <w:snapToGrid w:val="0"/>
              <w:spacing w:line="380" w:lineRule="exact"/>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lang w:val="en-US" w:eastAsia="zh-CN"/>
              </w:rPr>
              <w:t>25,000</w:t>
            </w:r>
          </w:p>
        </w:tc>
        <w:tc>
          <w:tcPr>
            <w:tcW w:w="599" w:type="pct"/>
            <w:vAlign w:val="center"/>
          </w:tcPr>
          <w:p w14:paraId="51626A81">
            <w:pPr>
              <w:keepNext w:val="0"/>
              <w:keepLines w:val="0"/>
              <w:pageBreakBefore w:val="0"/>
              <w:numPr>
                <w:ilvl w:val="0"/>
                <w:numId w:val="0"/>
              </w:numPr>
              <w:wordWrap/>
              <w:overflowPunct/>
              <w:topLinePunct w:val="0"/>
              <w:bidi w:val="0"/>
              <w:snapToGrid w:val="0"/>
              <w:spacing w:line="380" w:lineRule="exact"/>
              <w:jc w:val="center"/>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拒绝进口</w:t>
            </w:r>
          </w:p>
        </w:tc>
      </w:tr>
      <w:bookmarkEnd w:id="12"/>
    </w:tbl>
    <w:p w14:paraId="4F323B90">
      <w:pPr>
        <w:keepNext w:val="0"/>
        <w:keepLines w:val="0"/>
        <w:pageBreakBefore w:val="0"/>
        <w:wordWrap/>
        <w:overflowPunct/>
        <w:topLinePunct w:val="0"/>
        <w:bidi w:val="0"/>
        <w:snapToGrid w:val="0"/>
        <w:spacing w:line="380" w:lineRule="exact"/>
        <w:rPr>
          <w:rFonts w:hint="eastAsia" w:ascii="宋体" w:hAnsi="宋体" w:eastAsia="宋体" w:cs="宋体"/>
          <w:b/>
          <w:sz w:val="21"/>
          <w:szCs w:val="21"/>
        </w:rPr>
      </w:pPr>
      <w:bookmarkStart w:id="13" w:name="OLE_LINK4"/>
      <w:r>
        <w:rPr>
          <w:rFonts w:hint="eastAsia" w:ascii="宋体" w:hAnsi="宋体" w:eastAsia="宋体" w:cs="宋体"/>
          <w:b/>
          <w:sz w:val="21"/>
          <w:szCs w:val="21"/>
        </w:rPr>
        <w:t>本项目核心产品：</w:t>
      </w:r>
      <w:bookmarkEnd w:id="13"/>
      <w:r>
        <w:rPr>
          <w:rFonts w:hint="eastAsia" w:ascii="宋体" w:hAnsi="宋体" w:eastAsia="宋体" w:cs="宋体"/>
          <w:b/>
          <w:sz w:val="21"/>
          <w:szCs w:val="21"/>
          <w:u w:val="single"/>
        </w:rPr>
        <w:t>碳13呼气检测仪</w:t>
      </w:r>
    </w:p>
    <w:p w14:paraId="1B17CFBD">
      <w:pPr>
        <w:keepNext w:val="0"/>
        <w:keepLines w:val="0"/>
        <w:pageBreakBefore w:val="0"/>
        <w:wordWrap/>
        <w:overflowPunct/>
        <w:topLinePunct w:val="0"/>
        <w:bidi w:val="0"/>
        <w:snapToGrid w:val="0"/>
        <w:spacing w:line="380" w:lineRule="exact"/>
        <w:rPr>
          <w:rFonts w:hint="eastAsia" w:ascii="宋体" w:hAnsi="宋体" w:eastAsia="宋体" w:cs="宋体"/>
          <w:b/>
          <w:sz w:val="21"/>
          <w:szCs w:val="21"/>
        </w:rPr>
      </w:pPr>
      <w:r>
        <w:rPr>
          <w:rFonts w:hint="eastAsia" w:ascii="宋体" w:hAnsi="宋体" w:eastAsia="宋体" w:cs="宋体"/>
          <w:b/>
          <w:sz w:val="21"/>
          <w:szCs w:val="21"/>
        </w:rPr>
        <w:t xml:space="preserve">注：1. </w:t>
      </w:r>
      <w:r>
        <w:rPr>
          <w:rFonts w:hint="eastAsia" w:ascii="宋体" w:hAnsi="宋体" w:eastAsia="宋体" w:cs="宋体"/>
          <w:b/>
          <w:kern w:val="0"/>
          <w:sz w:val="21"/>
          <w:szCs w:val="21"/>
        </w:rPr>
        <w:t>非单一产品采购项目，采购人应当根据采购项目技术构成、产品价格比重等合理确定核心产品。（根据《政府采购货物和服务招标投标管理办法》</w:t>
      </w:r>
      <w:r>
        <w:rPr>
          <w:rFonts w:hint="eastAsia" w:ascii="宋体" w:hAnsi="宋体" w:eastAsia="宋体" w:cs="宋体"/>
          <w:b/>
          <w:sz w:val="21"/>
          <w:szCs w:val="21"/>
        </w:rPr>
        <w:t>（财政部令第87号）</w:t>
      </w:r>
      <w:r>
        <w:rPr>
          <w:rFonts w:hint="eastAsia" w:ascii="宋体" w:hAnsi="宋体" w:eastAsia="宋体" w:cs="宋体"/>
          <w:b/>
          <w:kern w:val="0"/>
          <w:sz w:val="21"/>
          <w:szCs w:val="21"/>
        </w:rPr>
        <w:t>第三十一条相关规定，提供核心产品为相同品牌且通过资格审查、符合性审查的不同供应商，按一家供应商计算，评审后得分最高的同品牌供应商获得中标人推荐资格；评审得分相同的，采取随机抽取方式确定中标人推荐资格。其他综合评分总分次之的不同品牌投标供应商顺推获得中标人推荐资格。）</w:t>
      </w:r>
    </w:p>
    <w:p w14:paraId="38D16FB0">
      <w:pPr>
        <w:keepNext w:val="0"/>
        <w:keepLines w:val="0"/>
        <w:pageBreakBefore w:val="0"/>
        <w:wordWrap/>
        <w:overflowPunct/>
        <w:topLinePunct w:val="0"/>
        <w:bidi w:val="0"/>
        <w:snapToGrid w:val="0"/>
        <w:spacing w:line="380" w:lineRule="exact"/>
        <w:rPr>
          <w:rFonts w:hint="eastAsia" w:ascii="宋体" w:hAnsi="宋体" w:eastAsia="宋体" w:cs="宋体"/>
          <w:b/>
          <w:sz w:val="21"/>
          <w:szCs w:val="21"/>
        </w:rPr>
      </w:pPr>
      <w:r>
        <w:rPr>
          <w:rFonts w:hint="eastAsia" w:ascii="宋体" w:hAnsi="宋体" w:eastAsia="宋体" w:cs="宋体"/>
          <w:b/>
          <w:sz w:val="21"/>
          <w:szCs w:val="21"/>
        </w:rPr>
        <w:t>说明：</w:t>
      </w:r>
    </w:p>
    <w:p w14:paraId="0B4318F2">
      <w:pPr>
        <w:keepNext w:val="0"/>
        <w:keepLines w:val="0"/>
        <w:pageBreakBefore w:val="0"/>
        <w:numPr>
          <w:ilvl w:val="0"/>
          <w:numId w:val="0"/>
        </w:numPr>
        <w:wordWrap/>
        <w:overflowPunct/>
        <w:topLinePunct w:val="0"/>
        <w:bidi w:val="0"/>
        <w:snapToGrid w:val="0"/>
        <w:spacing w:line="380" w:lineRule="exact"/>
        <w:rPr>
          <w:rFonts w:hint="eastAsia" w:ascii="宋体" w:hAnsi="宋体" w:eastAsia="宋体" w:cs="宋体"/>
          <w:bCs/>
          <w:sz w:val="21"/>
          <w:szCs w:val="21"/>
        </w:rPr>
      </w:pPr>
      <w:r>
        <w:rPr>
          <w:rFonts w:hint="eastAsia" w:ascii="宋体" w:hAnsi="宋体" w:eastAsia="宋体" w:cs="宋体"/>
          <w:bCs/>
          <w:kern w:val="2"/>
          <w:sz w:val="21"/>
          <w:szCs w:val="21"/>
          <w:lang w:val="en-US" w:eastAsia="zh-CN" w:bidi="ar-SA"/>
        </w:rPr>
        <w:t>1.</w:t>
      </w:r>
      <w:r>
        <w:rPr>
          <w:rFonts w:hint="eastAsia" w:ascii="宋体" w:hAnsi="宋体" w:eastAsia="宋体" w:cs="宋体"/>
          <w:bCs/>
          <w:sz w:val="21"/>
          <w:szCs w:val="21"/>
        </w:rPr>
        <w:t>注明“拒绝进口”的产品不接受投标人选用进口产品参与投标；</w:t>
      </w:r>
    </w:p>
    <w:p w14:paraId="6E6D13E8">
      <w:pPr>
        <w:keepNext w:val="0"/>
        <w:keepLines w:val="0"/>
        <w:pageBreakBefore w:val="0"/>
        <w:numPr>
          <w:ilvl w:val="0"/>
          <w:numId w:val="0"/>
        </w:numPr>
        <w:wordWrap/>
        <w:overflowPunct/>
        <w:topLinePunct w:val="0"/>
        <w:bidi w:val="0"/>
        <w:snapToGrid w:val="0"/>
        <w:spacing w:line="380" w:lineRule="exact"/>
        <w:rPr>
          <w:rFonts w:hint="eastAsia" w:ascii="宋体" w:hAnsi="宋体" w:eastAsia="宋体" w:cs="宋体"/>
          <w:bCs/>
          <w:sz w:val="21"/>
          <w:szCs w:val="21"/>
        </w:rPr>
      </w:pPr>
      <w:r>
        <w:rPr>
          <w:rFonts w:hint="eastAsia" w:ascii="宋体" w:hAnsi="宋体" w:eastAsia="宋体" w:cs="宋体"/>
          <w:bCs/>
          <w:kern w:val="2"/>
          <w:sz w:val="21"/>
          <w:szCs w:val="21"/>
          <w:lang w:val="en-US" w:eastAsia="zh-CN" w:bidi="ar-SA"/>
        </w:rPr>
        <w:t>2.</w:t>
      </w:r>
      <w:r>
        <w:rPr>
          <w:rFonts w:hint="eastAsia" w:ascii="宋体" w:hAnsi="宋体" w:eastAsia="宋体" w:cs="宋体"/>
          <w:bCs/>
          <w:sz w:val="21"/>
          <w:szCs w:val="21"/>
        </w:rPr>
        <w:t xml:space="preserve">注明“接受进口”的产品允许投标人选用进口产品参与投标，但不排斥国内产品。  </w:t>
      </w:r>
    </w:p>
    <w:p w14:paraId="74D208D6">
      <w:pPr>
        <w:keepNext w:val="0"/>
        <w:keepLines w:val="0"/>
        <w:pageBreakBefore w:val="0"/>
        <w:wordWrap/>
        <w:overflowPunct/>
        <w:topLinePunct w:val="0"/>
        <w:bidi w:val="0"/>
        <w:snapToGrid w:val="0"/>
        <w:spacing w:line="380" w:lineRule="exact"/>
        <w:rPr>
          <w:rFonts w:hint="eastAsia" w:ascii="宋体" w:hAnsi="宋体" w:eastAsia="宋体" w:cs="宋体"/>
          <w:bCs/>
          <w:sz w:val="21"/>
          <w:szCs w:val="21"/>
        </w:rPr>
      </w:pPr>
      <w:r>
        <w:rPr>
          <w:rFonts w:hint="eastAsia" w:ascii="宋体" w:hAnsi="宋体" w:eastAsia="宋体" w:cs="宋体"/>
          <w:bCs/>
          <w:sz w:val="21"/>
          <w:szCs w:val="21"/>
        </w:rPr>
        <w:t>3.进口产品是指通过海关验放进入中国境内且产自关境外的产品。即所谓进口产品是指制造过程均在国外，如果产品在国内组装，其中的零部件（包括核心部件）是进口产品，则应当视为非进口产品。采用“接受进口”的产品优先采购向我国企业转让技术、与我国企业签订消化吸收再创新方案的供应商的进口产品，相关内容以财库〔2007〕119 号文和财办库〔2008〕248 号文的相关规定为准。</w:t>
      </w:r>
      <w:bookmarkStart w:id="14" w:name="_Hlk20153589"/>
    </w:p>
    <w:p w14:paraId="25FB12FD">
      <w:pPr>
        <w:keepNext w:val="0"/>
        <w:keepLines w:val="0"/>
        <w:pageBreakBefore w:val="0"/>
        <w:wordWrap/>
        <w:overflowPunct/>
        <w:topLinePunct w:val="0"/>
        <w:bidi w:val="0"/>
        <w:snapToGrid w:val="0"/>
        <w:spacing w:line="380" w:lineRule="exact"/>
        <w:rPr>
          <w:rFonts w:hint="eastAsia" w:ascii="宋体" w:hAnsi="宋体" w:eastAsia="宋体" w:cs="宋体"/>
          <w:bCs/>
          <w:sz w:val="21"/>
          <w:szCs w:val="21"/>
        </w:rPr>
      </w:pPr>
    </w:p>
    <w:p w14:paraId="74EF1EFE">
      <w:pPr>
        <w:pStyle w:val="4"/>
        <w:bidi w:val="0"/>
        <w:rPr>
          <w:rFonts w:hint="eastAsia" w:ascii="Times New Roman" w:hAnsi="Times New Roman" w:eastAsia="宋体" w:cs="Times New Roman"/>
          <w:lang w:val="en-US" w:eastAsia="zh-CN"/>
        </w:rPr>
      </w:pPr>
    </w:p>
    <w:p w14:paraId="3A62839D">
      <w:pPr>
        <w:pStyle w:val="4"/>
        <w:bidi w:val="0"/>
        <w:rPr>
          <w:rFonts w:hint="eastAsia" w:ascii="Times New Roman" w:hAnsi="Times New Roman" w:eastAsia="宋体" w:cs="Times New Roman"/>
          <w:lang w:val="en-US" w:eastAsia="zh-CN"/>
        </w:rPr>
      </w:pPr>
    </w:p>
    <w:p w14:paraId="3F6D6BAE">
      <w:pPr>
        <w:pStyle w:val="4"/>
        <w:bidi w:val="0"/>
        <w:rPr>
          <w:rFonts w:hint="eastAsia" w:ascii="Times New Roman" w:hAnsi="Times New Roman" w:eastAsia="宋体" w:cs="Times New Roman"/>
          <w:lang w:val="en-US" w:eastAsia="zh-CN"/>
        </w:rPr>
      </w:pPr>
    </w:p>
    <w:p w14:paraId="4BA6A4C7">
      <w:pPr>
        <w:pStyle w:val="4"/>
        <w:bidi w:val="0"/>
        <w:rPr>
          <w:rFonts w:hint="eastAsia" w:ascii="Times New Roman" w:hAnsi="Times New Roman" w:eastAsia="宋体" w:cs="Times New Roman"/>
          <w:lang w:val="en-US" w:eastAsia="zh-CN"/>
        </w:rPr>
      </w:pPr>
    </w:p>
    <w:p w14:paraId="7E15C646">
      <w:pPr>
        <w:pStyle w:val="4"/>
        <w:bidi w:val="0"/>
        <w:rPr>
          <w:rFonts w:hint="eastAsia" w:ascii="Times New Roman" w:hAnsi="Times New Roman" w:eastAsia="宋体" w:cs="Times New Roman"/>
          <w:lang w:val="en-US" w:eastAsia="zh-CN"/>
        </w:rPr>
      </w:pPr>
    </w:p>
    <w:p w14:paraId="5769551F">
      <w:pPr>
        <w:pStyle w:val="4"/>
        <w:bidi w:val="0"/>
        <w:rPr>
          <w:rFonts w:hint="eastAsia" w:ascii="Times New Roman" w:hAnsi="Times New Roman" w:eastAsia="宋体" w:cs="Times New Roman"/>
          <w:lang w:val="en-US" w:eastAsia="zh-CN"/>
        </w:rPr>
      </w:pPr>
    </w:p>
    <w:p w14:paraId="0C5520D1">
      <w:pPr>
        <w:pStyle w:val="4"/>
        <w:bidi w:val="0"/>
        <w:rPr>
          <w:rFonts w:hint="eastAsia" w:ascii="Times New Roman" w:hAnsi="Times New Roman" w:eastAsia="宋体" w:cs="Times New Roman"/>
          <w:lang w:val="en-US" w:eastAsia="zh-CN"/>
        </w:rPr>
      </w:pPr>
    </w:p>
    <w:p w14:paraId="15405A0E">
      <w:pPr>
        <w:pStyle w:val="4"/>
        <w:bidi w:val="0"/>
        <w:rPr>
          <w:rFonts w:hint="eastAsia" w:ascii="Times New Roman" w:hAnsi="Times New Roman" w:eastAsia="宋体" w:cs="Times New Roman"/>
          <w:lang w:val="en-US" w:eastAsia="zh-CN"/>
        </w:rPr>
      </w:pPr>
    </w:p>
    <w:p w14:paraId="24B285B9">
      <w:pPr>
        <w:pStyle w:val="4"/>
        <w:bidi w:val="0"/>
        <w:rPr>
          <w:rFonts w:hint="eastAsia" w:ascii="Times New Roman" w:hAnsi="Times New Roman" w:eastAsia="宋体" w:cs="Times New Roman"/>
          <w:lang w:val="en-US" w:eastAsia="zh-CN"/>
        </w:rPr>
      </w:pPr>
    </w:p>
    <w:p w14:paraId="7A04633B">
      <w:pPr>
        <w:pStyle w:val="4"/>
        <w:bidi w:val="0"/>
        <w:rPr>
          <w:rFonts w:hint="eastAsia" w:ascii="Times New Roman" w:hAnsi="Times New Roman" w:eastAsia="宋体" w:cs="Times New Roman"/>
          <w:lang w:val="en-US" w:eastAsia="zh-CN"/>
        </w:rPr>
      </w:pPr>
    </w:p>
    <w:p w14:paraId="64F3FED6">
      <w:pPr>
        <w:pStyle w:val="4"/>
        <w:bidi w:val="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三、具体技术要求</w:t>
      </w:r>
      <w:bookmarkEnd w:id="14"/>
    </w:p>
    <w:p w14:paraId="4677C7FC">
      <w:pPr>
        <w:keepNext w:val="0"/>
        <w:keepLines w:val="0"/>
        <w:pageBreakBefore w:val="0"/>
        <w:wordWrap/>
        <w:overflowPunct/>
        <w:topLinePunct w:val="0"/>
        <w:bidi w:val="0"/>
        <w:spacing w:line="380" w:lineRule="exact"/>
        <w:jc w:val="left"/>
        <w:rPr>
          <w:rFonts w:hint="eastAsia" w:ascii="宋体" w:hAnsi="宋体" w:eastAsia="宋体" w:cs="宋体"/>
          <w:b/>
          <w:bCs/>
          <w:color w:val="FF0000"/>
          <w:sz w:val="21"/>
          <w:szCs w:val="21"/>
        </w:rPr>
      </w:pPr>
      <w:r>
        <w:rPr>
          <w:rFonts w:hint="eastAsia" w:ascii="宋体" w:hAnsi="宋体" w:eastAsia="宋体" w:cs="宋体"/>
          <w:b/>
          <w:bCs/>
          <w:color w:val="FF0000"/>
          <w:sz w:val="21"/>
          <w:szCs w:val="21"/>
        </w:rPr>
        <w:t>说明：1、带“★”指标项为实质性条款，如出现负偏离，将被视为未实质性满足招标文件要求作投标无效处理。带</w:t>
      </w:r>
      <w:bookmarkStart w:id="15" w:name="OLE_LINK9"/>
      <w:r>
        <w:rPr>
          <w:rFonts w:hint="eastAsia" w:ascii="宋体" w:hAnsi="宋体" w:eastAsia="宋体" w:cs="宋体"/>
          <w:b/>
          <w:bCs/>
          <w:color w:val="FF0000"/>
          <w:sz w:val="21"/>
          <w:szCs w:val="21"/>
        </w:rPr>
        <w:t>“▲”指标项为重要参数</w:t>
      </w:r>
      <w:bookmarkEnd w:id="15"/>
      <w:r>
        <w:rPr>
          <w:rFonts w:hint="eastAsia" w:ascii="宋体" w:hAnsi="宋体" w:eastAsia="宋体" w:cs="宋体"/>
          <w:b/>
          <w:bCs/>
          <w:color w:val="FF0000"/>
          <w:sz w:val="21"/>
          <w:szCs w:val="21"/>
        </w:rPr>
        <w:t xml:space="preserve">，负偏离时依相关评分准则内容作重点扣分处理。 </w:t>
      </w:r>
    </w:p>
    <w:p w14:paraId="63482457">
      <w:pPr>
        <w:keepNext w:val="0"/>
        <w:keepLines w:val="0"/>
        <w:pageBreakBefore w:val="0"/>
        <w:wordWrap/>
        <w:overflowPunct/>
        <w:topLinePunct w:val="0"/>
        <w:bidi w:val="0"/>
        <w:spacing w:line="380" w:lineRule="exact"/>
        <w:jc w:val="left"/>
        <w:rPr>
          <w:rFonts w:hint="eastAsia" w:ascii="宋体" w:hAnsi="宋体" w:eastAsia="宋体" w:cs="宋体"/>
          <w:b/>
          <w:bCs/>
          <w:color w:val="FF0000"/>
          <w:sz w:val="21"/>
          <w:szCs w:val="21"/>
        </w:rPr>
      </w:pPr>
      <w:r>
        <w:rPr>
          <w:rFonts w:hint="eastAsia" w:ascii="宋体" w:hAnsi="宋体" w:eastAsia="宋体" w:cs="宋体"/>
          <w:b/>
          <w:bCs/>
          <w:color w:val="FF0000"/>
          <w:sz w:val="21"/>
          <w:szCs w:val="21"/>
        </w:rPr>
        <w:t>2、评分时，如对一项招标技术要求(如有最后一级序号的，以最后一级序号为准，否则以上一级序号为准)中的内容存在两处(或以上)负偏离的，在评分时只作一项负离扣分。</w:t>
      </w:r>
    </w:p>
    <w:p w14:paraId="49E84BED">
      <w:pPr>
        <w:keepNext w:val="0"/>
        <w:keepLines w:val="0"/>
        <w:pageBreakBefore w:val="0"/>
        <w:wordWrap/>
        <w:overflowPunct/>
        <w:topLinePunct w:val="0"/>
        <w:bidi w:val="0"/>
        <w:spacing w:line="380" w:lineRule="exact"/>
        <w:jc w:val="left"/>
        <w:rPr>
          <w:rFonts w:hint="eastAsia" w:ascii="宋体" w:hAnsi="宋体" w:eastAsia="宋体" w:cs="宋体"/>
          <w:b/>
          <w:bCs/>
          <w:color w:val="FF0000"/>
          <w:sz w:val="21"/>
          <w:szCs w:val="21"/>
        </w:rPr>
      </w:pPr>
      <w:r>
        <w:rPr>
          <w:rFonts w:hint="eastAsia" w:ascii="宋体" w:hAnsi="宋体" w:eastAsia="宋体" w:cs="宋体"/>
          <w:b/>
          <w:bCs/>
          <w:color w:val="FF0000"/>
          <w:sz w:val="21"/>
          <w:szCs w:val="21"/>
        </w:rPr>
        <w:t>3、涉及区间的技术要求，除特别注明以外，所投产品范围涵盖对应的区间即认定为满足该项技术要求。例：区间要求为5-20ML, 所投产品范围最小值≤5ML，范围最大值≥20ML，即为满足该项技术要求。</w:t>
      </w:r>
    </w:p>
    <w:tbl>
      <w:tblPr>
        <w:tblStyle w:val="16"/>
        <w:tblpPr w:leftFromText="180" w:rightFromText="180" w:vertAnchor="text" w:horzAnchor="page" w:tblpX="1892" w:tblpY="300"/>
        <w:tblOverlap w:val="never"/>
        <w:tblW w:w="8160" w:type="dxa"/>
        <w:tblInd w:w="0" w:type="dxa"/>
        <w:tblLayout w:type="autofit"/>
        <w:tblCellMar>
          <w:top w:w="0" w:type="dxa"/>
          <w:left w:w="108" w:type="dxa"/>
          <w:bottom w:w="0" w:type="dxa"/>
          <w:right w:w="108" w:type="dxa"/>
        </w:tblCellMar>
      </w:tblPr>
      <w:tblGrid>
        <w:gridCol w:w="960"/>
        <w:gridCol w:w="1268"/>
        <w:gridCol w:w="5932"/>
      </w:tblGrid>
      <w:tr w14:paraId="441B4A65">
        <w:tblPrEx>
          <w:tblCellMar>
            <w:top w:w="0" w:type="dxa"/>
            <w:left w:w="108" w:type="dxa"/>
            <w:bottom w:w="0" w:type="dxa"/>
            <w:right w:w="108" w:type="dxa"/>
          </w:tblCellMar>
        </w:tblPrEx>
        <w:trPr>
          <w:trHeight w:val="391" w:hRule="atLeast"/>
          <w:tblHeader/>
        </w:trPr>
        <w:tc>
          <w:tcPr>
            <w:tcW w:w="960" w:type="dxa"/>
            <w:tcBorders>
              <w:top w:val="single" w:color="000000" w:sz="4" w:space="0"/>
              <w:left w:val="single" w:color="000000" w:sz="4" w:space="0"/>
              <w:bottom w:val="single" w:color="auto" w:sz="4" w:space="0"/>
              <w:right w:val="single" w:color="000000" w:sz="4" w:space="0"/>
            </w:tcBorders>
            <w:shd w:val="clear" w:color="auto" w:fill="auto"/>
            <w:vAlign w:val="center"/>
          </w:tcPr>
          <w:p w14:paraId="582DAE13">
            <w:pPr>
              <w:widowControl/>
              <w:jc w:val="center"/>
              <w:textAlignment w:val="bottom"/>
              <w:rPr>
                <w:rFonts w:hint="eastAsia" w:ascii="仿宋_GB2312" w:hAnsi="仿宋_GB2312" w:eastAsia="仿宋_GB2312" w:cs="仿宋_GB2312"/>
                <w:b/>
                <w:bCs/>
                <w:color w:val="000000"/>
                <w:sz w:val="21"/>
                <w:szCs w:val="21"/>
              </w:rPr>
            </w:pPr>
            <w:r>
              <w:rPr>
                <w:rFonts w:hint="eastAsia" w:ascii="仿宋_GB2312" w:hAnsi="仿宋_GB2312" w:eastAsia="仿宋_GB2312" w:cs="仿宋_GB2312"/>
                <w:b/>
                <w:bCs/>
                <w:color w:val="000000"/>
                <w:kern w:val="0"/>
                <w:sz w:val="21"/>
                <w:szCs w:val="21"/>
                <w:lang w:bidi="ar"/>
              </w:rPr>
              <w:t>序号</w:t>
            </w:r>
          </w:p>
        </w:tc>
        <w:tc>
          <w:tcPr>
            <w:tcW w:w="1268" w:type="dxa"/>
            <w:tcBorders>
              <w:top w:val="single" w:color="000000" w:sz="4" w:space="0"/>
              <w:left w:val="single" w:color="000000" w:sz="4" w:space="0"/>
              <w:bottom w:val="single" w:color="auto" w:sz="4" w:space="0"/>
              <w:right w:val="single" w:color="000000" w:sz="4" w:space="0"/>
            </w:tcBorders>
            <w:shd w:val="clear" w:color="auto" w:fill="auto"/>
            <w:vAlign w:val="center"/>
          </w:tcPr>
          <w:p w14:paraId="11D4B0CC">
            <w:pPr>
              <w:widowControl/>
              <w:jc w:val="center"/>
              <w:textAlignment w:val="bottom"/>
              <w:rPr>
                <w:rFonts w:hint="eastAsia" w:ascii="仿宋_GB2312" w:hAnsi="仿宋_GB2312" w:eastAsia="仿宋_GB2312" w:cs="仿宋_GB2312"/>
                <w:b/>
                <w:bCs/>
                <w:color w:val="000000"/>
                <w:sz w:val="21"/>
                <w:szCs w:val="21"/>
              </w:rPr>
            </w:pPr>
            <w:r>
              <w:rPr>
                <w:rFonts w:hint="eastAsia" w:ascii="仿宋_GB2312" w:hAnsi="仿宋_GB2312" w:eastAsia="仿宋_GB2312" w:cs="仿宋_GB2312"/>
                <w:b/>
                <w:bCs/>
                <w:color w:val="000000"/>
                <w:kern w:val="0"/>
                <w:sz w:val="21"/>
                <w:szCs w:val="21"/>
                <w:lang w:bidi="ar"/>
              </w:rPr>
              <w:t>货物名称</w:t>
            </w:r>
          </w:p>
        </w:tc>
        <w:tc>
          <w:tcPr>
            <w:tcW w:w="5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88230">
            <w:pPr>
              <w:widowControl/>
              <w:jc w:val="center"/>
              <w:textAlignment w:val="bottom"/>
              <w:rPr>
                <w:rFonts w:hint="eastAsia" w:ascii="仿宋_GB2312" w:hAnsi="仿宋_GB2312" w:eastAsia="仿宋_GB2312" w:cs="仿宋_GB2312"/>
                <w:b/>
                <w:bCs/>
                <w:color w:val="000000"/>
                <w:sz w:val="21"/>
                <w:szCs w:val="21"/>
              </w:rPr>
            </w:pPr>
            <w:r>
              <w:rPr>
                <w:rFonts w:hint="eastAsia" w:ascii="仿宋_GB2312" w:hAnsi="仿宋_GB2312" w:eastAsia="仿宋_GB2312" w:cs="仿宋_GB2312"/>
                <w:b/>
                <w:bCs/>
                <w:color w:val="000000"/>
                <w:kern w:val="0"/>
                <w:sz w:val="21"/>
                <w:szCs w:val="21"/>
                <w:lang w:bidi="ar"/>
              </w:rPr>
              <w:t>技术要求</w:t>
            </w:r>
          </w:p>
        </w:tc>
      </w:tr>
      <w:tr w14:paraId="2D90B338">
        <w:tblPrEx>
          <w:tblCellMar>
            <w:top w:w="0" w:type="dxa"/>
            <w:left w:w="108" w:type="dxa"/>
            <w:bottom w:w="0" w:type="dxa"/>
            <w:right w:w="108" w:type="dxa"/>
          </w:tblCellMar>
        </w:tblPrEx>
        <w:trPr>
          <w:trHeight w:val="578" w:hRule="atLeast"/>
        </w:trPr>
        <w:tc>
          <w:tcPr>
            <w:tcW w:w="960" w:type="dxa"/>
            <w:vMerge w:val="restart"/>
            <w:tcBorders>
              <w:top w:val="single" w:color="auto" w:sz="4" w:space="0"/>
              <w:left w:val="single" w:color="auto" w:sz="4" w:space="0"/>
              <w:right w:val="single" w:color="000000" w:sz="4" w:space="0"/>
            </w:tcBorders>
            <w:shd w:val="clear" w:color="auto" w:fill="auto"/>
            <w:vAlign w:val="center"/>
          </w:tcPr>
          <w:p w14:paraId="4510646A">
            <w:pPr>
              <w:widowControl/>
              <w:ind w:firstLine="210" w:firstLineChars="100"/>
              <w:jc w:val="center"/>
              <w:textAlignment w:val="top"/>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bidi="ar"/>
              </w:rPr>
              <w:t>1</w:t>
            </w:r>
          </w:p>
        </w:tc>
        <w:tc>
          <w:tcPr>
            <w:tcW w:w="1268" w:type="dxa"/>
            <w:vMerge w:val="restart"/>
            <w:tcBorders>
              <w:top w:val="single" w:color="auto" w:sz="4" w:space="0"/>
              <w:left w:val="single" w:color="000000" w:sz="4" w:space="0"/>
              <w:right w:val="single" w:color="auto" w:sz="4" w:space="0"/>
            </w:tcBorders>
            <w:shd w:val="clear" w:color="auto" w:fill="auto"/>
            <w:vAlign w:val="center"/>
          </w:tcPr>
          <w:p w14:paraId="7018C199">
            <w:pPr>
              <w:widowControl/>
              <w:jc w:val="center"/>
              <w:textAlignment w:val="top"/>
              <w:rPr>
                <w:rFonts w:hint="default" w:ascii="Times New Roman" w:hAnsi="Times New Roman" w:eastAsia="仿宋_GB2312" w:cs="Times New Roman"/>
                <w:color w:val="000000"/>
                <w:sz w:val="21"/>
                <w:szCs w:val="21"/>
                <w:lang w:val="en-US" w:eastAsia="zh-CN"/>
              </w:rPr>
            </w:pPr>
            <w:r>
              <w:rPr>
                <w:rFonts w:hint="default" w:ascii="Times New Roman" w:hAnsi="Times New Roman" w:eastAsia="仿宋_GB2312" w:cs="Times New Roman"/>
                <w:color w:val="000000"/>
                <w:sz w:val="21"/>
                <w:szCs w:val="21"/>
              </w:rPr>
              <w:t>碳13呼气检测仪</w:t>
            </w:r>
          </w:p>
        </w:tc>
        <w:tc>
          <w:tcPr>
            <w:tcW w:w="5932" w:type="dxa"/>
            <w:tcBorders>
              <w:top w:val="single" w:color="000000" w:sz="4" w:space="0"/>
              <w:left w:val="single" w:color="auto" w:sz="4" w:space="0"/>
              <w:bottom w:val="single" w:color="000000" w:sz="4" w:space="0"/>
              <w:right w:val="single" w:color="000000" w:sz="4" w:space="0"/>
            </w:tcBorders>
            <w:shd w:val="clear" w:color="auto" w:fill="auto"/>
            <w:vAlign w:val="center"/>
          </w:tcPr>
          <w:p w14:paraId="492EF9D8">
            <w:pPr>
              <w:widowControl/>
              <w:jc w:val="left"/>
              <w:textAlignment w:val="top"/>
              <w:rPr>
                <w:rFonts w:hint="default" w:ascii="Times New Roman" w:hAnsi="Times New Roman" w:eastAsia="仿宋_GB2312" w:cs="Times New Roman"/>
                <w:color w:val="000000"/>
                <w:sz w:val="21"/>
                <w:szCs w:val="21"/>
                <w:lang w:val="en-US" w:eastAsia="zh-CN"/>
              </w:rPr>
            </w:pPr>
            <w:r>
              <w:rPr>
                <w:rFonts w:hint="default" w:ascii="Times New Roman" w:hAnsi="Times New Roman" w:eastAsia="仿宋_GB2312" w:cs="Times New Roman"/>
                <w:color w:val="000000"/>
                <w:sz w:val="21"/>
                <w:szCs w:val="21"/>
                <w:lang w:val="en-US" w:eastAsia="zh-CN"/>
              </w:rPr>
              <w:t>1.</w:t>
            </w:r>
            <w:r>
              <w:rPr>
                <w:rFonts w:hint="default" w:ascii="Times New Roman" w:hAnsi="Times New Roman" w:eastAsia="仿宋_GB2312" w:cs="Times New Roman"/>
                <w:color w:val="000000"/>
                <w:sz w:val="21"/>
                <w:szCs w:val="21"/>
              </w:rPr>
              <w:t>可用于C13呼气试验检测项目，检测幽门螺旋杆菌</w:t>
            </w:r>
            <w:r>
              <w:rPr>
                <w:rFonts w:hint="default" w:ascii="Times New Roman" w:hAnsi="Times New Roman" w:eastAsia="仿宋_GB2312" w:cs="Times New Roman"/>
                <w:color w:val="000000"/>
                <w:sz w:val="21"/>
                <w:szCs w:val="21"/>
                <w:lang w:eastAsia="zh-CN"/>
              </w:rPr>
              <w:t>；</w:t>
            </w:r>
          </w:p>
        </w:tc>
      </w:tr>
      <w:tr w14:paraId="49496027">
        <w:tblPrEx>
          <w:tblCellMar>
            <w:top w:w="0" w:type="dxa"/>
            <w:left w:w="108" w:type="dxa"/>
            <w:bottom w:w="0" w:type="dxa"/>
            <w:right w:w="108" w:type="dxa"/>
          </w:tblCellMar>
        </w:tblPrEx>
        <w:trPr>
          <w:trHeight w:val="353" w:hRule="atLeast"/>
        </w:trPr>
        <w:tc>
          <w:tcPr>
            <w:tcW w:w="960" w:type="dxa"/>
            <w:vMerge w:val="continue"/>
            <w:tcBorders>
              <w:left w:val="single" w:color="auto" w:sz="4" w:space="0"/>
              <w:right w:val="single" w:color="000000" w:sz="4" w:space="0"/>
            </w:tcBorders>
            <w:shd w:val="clear" w:color="auto" w:fill="auto"/>
            <w:vAlign w:val="center"/>
          </w:tcPr>
          <w:p w14:paraId="36CAA424">
            <w:pPr>
              <w:jc w:val="center"/>
              <w:rPr>
                <w:rFonts w:hint="eastAsia" w:ascii="仿宋_GB2312" w:hAnsi="仿宋_GB2312" w:eastAsia="仿宋_GB2312" w:cs="仿宋_GB2312"/>
                <w:color w:val="000000"/>
                <w:sz w:val="21"/>
                <w:szCs w:val="21"/>
              </w:rPr>
            </w:pPr>
          </w:p>
        </w:tc>
        <w:tc>
          <w:tcPr>
            <w:tcW w:w="1268" w:type="dxa"/>
            <w:vMerge w:val="continue"/>
            <w:tcBorders>
              <w:left w:val="single" w:color="000000" w:sz="4" w:space="0"/>
              <w:right w:val="single" w:color="auto" w:sz="4" w:space="0"/>
            </w:tcBorders>
            <w:shd w:val="clear" w:color="auto" w:fill="auto"/>
            <w:vAlign w:val="center"/>
          </w:tcPr>
          <w:p w14:paraId="3D1E97C6">
            <w:pPr>
              <w:jc w:val="center"/>
              <w:rPr>
                <w:rFonts w:hint="default" w:ascii="Times New Roman" w:hAnsi="Times New Roman" w:eastAsia="仿宋_GB2312" w:cs="Times New Roman"/>
                <w:color w:val="000000"/>
                <w:sz w:val="21"/>
                <w:szCs w:val="21"/>
              </w:rPr>
            </w:pPr>
          </w:p>
        </w:tc>
        <w:tc>
          <w:tcPr>
            <w:tcW w:w="5932" w:type="dxa"/>
            <w:tcBorders>
              <w:top w:val="single" w:color="000000" w:sz="4" w:space="0"/>
              <w:left w:val="single" w:color="auto" w:sz="4" w:space="0"/>
              <w:bottom w:val="single" w:color="000000" w:sz="4" w:space="0"/>
              <w:right w:val="single" w:color="000000" w:sz="4" w:space="0"/>
            </w:tcBorders>
            <w:shd w:val="clear" w:color="auto" w:fill="auto"/>
            <w:vAlign w:val="center"/>
          </w:tcPr>
          <w:p w14:paraId="71697F9E">
            <w:pPr>
              <w:widowControl/>
              <w:jc w:val="left"/>
              <w:textAlignment w:val="top"/>
              <w:rPr>
                <w:rFonts w:hint="default" w:ascii="Times New Roman" w:hAnsi="Times New Roman" w:eastAsia="仿宋_GB2312" w:cs="Times New Roman"/>
                <w:color w:val="000000"/>
                <w:sz w:val="21"/>
                <w:szCs w:val="21"/>
                <w:lang w:val="en-US" w:eastAsia="zh-CN"/>
              </w:rPr>
            </w:pPr>
            <w:r>
              <w:rPr>
                <w:rFonts w:hint="default" w:ascii="Times New Roman" w:hAnsi="Times New Roman" w:eastAsia="仿宋_GB2312" w:cs="Times New Roman"/>
                <w:color w:val="000000"/>
                <w:sz w:val="21"/>
                <w:szCs w:val="21"/>
                <w:lang w:val="en-US" w:eastAsia="zh-CN"/>
              </w:rPr>
              <w:t>2.精确性：</w:t>
            </w:r>
            <w:r>
              <w:rPr>
                <w:rFonts w:hint="default" w:ascii="Times New Roman" w:hAnsi="Times New Roman" w:eastAsia="仿宋_GB2312" w:cs="Times New Roman"/>
                <w:color w:val="000000"/>
                <w:sz w:val="21"/>
                <w:szCs w:val="21"/>
              </w:rPr>
              <w:t>同一样品连续十次测量的δ值的标准偏差</w:t>
            </w:r>
            <w:r>
              <w:rPr>
                <w:rFonts w:hint="default" w:ascii="Times New Roman" w:hAnsi="Times New Roman" w:eastAsia="仿宋_GB2312" w:cs="Times New Roman"/>
                <w:color w:val="000000"/>
                <w:sz w:val="21"/>
                <w:szCs w:val="21"/>
                <w:lang w:val="en-US"/>
              </w:rPr>
              <w:t>不大于</w:t>
            </w:r>
            <w:r>
              <w:rPr>
                <w:rFonts w:hint="default" w:ascii="Times New Roman" w:hAnsi="Times New Roman" w:eastAsia="仿宋_GB2312" w:cs="Times New Roman"/>
                <w:color w:val="000000"/>
                <w:sz w:val="21"/>
                <w:szCs w:val="21"/>
              </w:rPr>
              <w:t>0.3‰；</w:t>
            </w:r>
          </w:p>
        </w:tc>
      </w:tr>
      <w:tr w14:paraId="1C05139B">
        <w:tblPrEx>
          <w:tblCellMar>
            <w:top w:w="0" w:type="dxa"/>
            <w:left w:w="108" w:type="dxa"/>
            <w:bottom w:w="0" w:type="dxa"/>
            <w:right w:w="108" w:type="dxa"/>
          </w:tblCellMar>
        </w:tblPrEx>
        <w:trPr>
          <w:trHeight w:val="349" w:hRule="atLeast"/>
        </w:trPr>
        <w:tc>
          <w:tcPr>
            <w:tcW w:w="960" w:type="dxa"/>
            <w:vMerge w:val="continue"/>
            <w:tcBorders>
              <w:left w:val="single" w:color="auto" w:sz="4" w:space="0"/>
              <w:right w:val="single" w:color="000000" w:sz="4" w:space="0"/>
            </w:tcBorders>
            <w:shd w:val="clear" w:color="auto" w:fill="auto"/>
            <w:vAlign w:val="center"/>
          </w:tcPr>
          <w:p w14:paraId="2B67FBF0">
            <w:pPr>
              <w:jc w:val="center"/>
              <w:rPr>
                <w:rFonts w:hint="eastAsia" w:ascii="仿宋_GB2312" w:hAnsi="仿宋_GB2312" w:eastAsia="仿宋_GB2312" w:cs="仿宋_GB2312"/>
                <w:color w:val="000000"/>
                <w:sz w:val="21"/>
                <w:szCs w:val="21"/>
              </w:rPr>
            </w:pPr>
          </w:p>
        </w:tc>
        <w:tc>
          <w:tcPr>
            <w:tcW w:w="1268" w:type="dxa"/>
            <w:vMerge w:val="continue"/>
            <w:tcBorders>
              <w:left w:val="single" w:color="000000" w:sz="4" w:space="0"/>
              <w:right w:val="single" w:color="auto" w:sz="4" w:space="0"/>
            </w:tcBorders>
            <w:shd w:val="clear" w:color="auto" w:fill="auto"/>
            <w:vAlign w:val="center"/>
          </w:tcPr>
          <w:p w14:paraId="23AB7516">
            <w:pPr>
              <w:jc w:val="center"/>
              <w:rPr>
                <w:rFonts w:hint="default" w:ascii="Times New Roman" w:hAnsi="Times New Roman" w:eastAsia="仿宋_GB2312" w:cs="Times New Roman"/>
                <w:color w:val="000000"/>
                <w:sz w:val="21"/>
                <w:szCs w:val="21"/>
              </w:rPr>
            </w:pPr>
          </w:p>
        </w:tc>
        <w:tc>
          <w:tcPr>
            <w:tcW w:w="5932" w:type="dxa"/>
            <w:tcBorders>
              <w:top w:val="single" w:color="000000" w:sz="4" w:space="0"/>
              <w:left w:val="single" w:color="auto" w:sz="4" w:space="0"/>
              <w:bottom w:val="single" w:color="000000" w:sz="4" w:space="0"/>
              <w:right w:val="single" w:color="000000" w:sz="4" w:space="0"/>
            </w:tcBorders>
            <w:shd w:val="clear" w:color="auto" w:fill="auto"/>
            <w:vAlign w:val="center"/>
          </w:tcPr>
          <w:p w14:paraId="7394BCE4">
            <w:pPr>
              <w:widowControl/>
              <w:jc w:val="left"/>
              <w:textAlignment w:val="top"/>
              <w:rPr>
                <w:rFonts w:hint="default" w:ascii="Times New Roman" w:hAnsi="Times New Roman" w:eastAsia="仿宋_GB2312" w:cs="Times New Roman"/>
                <w:color w:val="000000"/>
                <w:sz w:val="21"/>
                <w:szCs w:val="21"/>
                <w:lang w:val="en-US" w:eastAsia="zh-CN"/>
              </w:rPr>
            </w:pPr>
            <w:r>
              <w:rPr>
                <w:rFonts w:hint="default" w:ascii="Times New Roman" w:hAnsi="Times New Roman" w:eastAsia="仿宋_GB2312" w:cs="Times New Roman"/>
                <w:color w:val="000000"/>
                <w:sz w:val="21"/>
                <w:szCs w:val="21"/>
                <w:lang w:val="en-US" w:eastAsia="zh-CN"/>
              </w:rPr>
              <w:t>3.</w:t>
            </w:r>
            <w:r>
              <w:rPr>
                <w:rFonts w:hint="default" w:ascii="Times New Roman" w:hAnsi="Times New Roman" w:eastAsia="仿宋_GB2312" w:cs="Times New Roman"/>
                <w:color w:val="000000"/>
                <w:sz w:val="21"/>
                <w:szCs w:val="21"/>
              </w:rPr>
              <w:t>光学系统：窄带带通干涉滤光组件+蓝宝石窗片+光学透镜</w:t>
            </w:r>
            <w:r>
              <w:rPr>
                <w:rFonts w:hint="default" w:ascii="Times New Roman" w:hAnsi="Times New Roman" w:eastAsia="仿宋_GB2312" w:cs="Times New Roman"/>
                <w:color w:val="000000"/>
                <w:sz w:val="21"/>
                <w:szCs w:val="21"/>
                <w:lang w:eastAsia="zh-CN"/>
              </w:rPr>
              <w:t>；</w:t>
            </w:r>
          </w:p>
        </w:tc>
      </w:tr>
      <w:tr w14:paraId="31861080">
        <w:tblPrEx>
          <w:tblCellMar>
            <w:top w:w="0" w:type="dxa"/>
            <w:left w:w="108" w:type="dxa"/>
            <w:bottom w:w="0" w:type="dxa"/>
            <w:right w:w="108" w:type="dxa"/>
          </w:tblCellMar>
        </w:tblPrEx>
        <w:trPr>
          <w:trHeight w:val="348" w:hRule="atLeast"/>
        </w:trPr>
        <w:tc>
          <w:tcPr>
            <w:tcW w:w="960" w:type="dxa"/>
            <w:vMerge w:val="continue"/>
            <w:tcBorders>
              <w:left w:val="single" w:color="auto" w:sz="4" w:space="0"/>
              <w:right w:val="single" w:color="000000" w:sz="4" w:space="0"/>
            </w:tcBorders>
            <w:shd w:val="clear" w:color="auto" w:fill="auto"/>
            <w:vAlign w:val="center"/>
          </w:tcPr>
          <w:p w14:paraId="1345225F">
            <w:pPr>
              <w:jc w:val="center"/>
              <w:rPr>
                <w:rFonts w:hint="eastAsia" w:ascii="仿宋_GB2312" w:hAnsi="仿宋_GB2312" w:eastAsia="仿宋_GB2312" w:cs="仿宋_GB2312"/>
                <w:color w:val="000000"/>
                <w:sz w:val="21"/>
                <w:szCs w:val="21"/>
              </w:rPr>
            </w:pPr>
          </w:p>
        </w:tc>
        <w:tc>
          <w:tcPr>
            <w:tcW w:w="1268" w:type="dxa"/>
            <w:vMerge w:val="continue"/>
            <w:tcBorders>
              <w:left w:val="single" w:color="000000" w:sz="4" w:space="0"/>
              <w:right w:val="single" w:color="auto" w:sz="4" w:space="0"/>
            </w:tcBorders>
            <w:shd w:val="clear" w:color="auto" w:fill="auto"/>
            <w:vAlign w:val="center"/>
          </w:tcPr>
          <w:p w14:paraId="418FF60F">
            <w:pPr>
              <w:jc w:val="center"/>
              <w:rPr>
                <w:rFonts w:hint="default" w:ascii="Times New Roman" w:hAnsi="Times New Roman" w:eastAsia="仿宋_GB2312" w:cs="Times New Roman"/>
                <w:color w:val="000000"/>
                <w:sz w:val="21"/>
                <w:szCs w:val="21"/>
              </w:rPr>
            </w:pPr>
          </w:p>
        </w:tc>
        <w:tc>
          <w:tcPr>
            <w:tcW w:w="5932" w:type="dxa"/>
            <w:tcBorders>
              <w:top w:val="single" w:color="000000" w:sz="4" w:space="0"/>
              <w:left w:val="single" w:color="auto" w:sz="4" w:space="0"/>
              <w:bottom w:val="single" w:color="000000" w:sz="4" w:space="0"/>
              <w:right w:val="single" w:color="000000" w:sz="4" w:space="0"/>
            </w:tcBorders>
            <w:shd w:val="clear" w:color="auto" w:fill="auto"/>
            <w:vAlign w:val="center"/>
          </w:tcPr>
          <w:p w14:paraId="1478CB51">
            <w:pPr>
              <w:widowControl/>
              <w:jc w:val="left"/>
              <w:textAlignment w:val="top"/>
              <w:rPr>
                <w:rFonts w:hint="default" w:ascii="Times New Roman" w:hAnsi="Times New Roman" w:eastAsia="仿宋_GB2312" w:cs="Times New Roman"/>
                <w:color w:val="000000"/>
                <w:sz w:val="21"/>
                <w:szCs w:val="21"/>
                <w:lang w:val="en-US" w:eastAsia="zh-CN"/>
              </w:rPr>
            </w:pPr>
            <w:r>
              <w:rPr>
                <w:rFonts w:hint="default" w:ascii="Times New Roman" w:hAnsi="Times New Roman" w:eastAsia="仿宋_GB2312" w:cs="Times New Roman"/>
                <w:color w:val="000000"/>
                <w:sz w:val="21"/>
                <w:szCs w:val="21"/>
                <w:lang w:val="en-US" w:eastAsia="zh-CN"/>
              </w:rPr>
              <w:t>4.</w:t>
            </w:r>
            <w:r>
              <w:rPr>
                <w:rFonts w:hint="default" w:ascii="Times New Roman" w:hAnsi="Times New Roman" w:eastAsia="仿宋_GB2312" w:cs="Times New Roman"/>
                <w:color w:val="000000"/>
                <w:sz w:val="21"/>
                <w:szCs w:val="21"/>
              </w:rPr>
              <w:t>红外光源：带镀金反射镜的稳态黑体辐射源，工作温度</w:t>
            </w:r>
            <w:r>
              <w:rPr>
                <w:rFonts w:hint="default" w:ascii="Times New Roman" w:hAnsi="Times New Roman" w:eastAsia="仿宋_GB2312" w:cs="Times New Roman"/>
                <w:color w:val="000000"/>
                <w:sz w:val="21"/>
                <w:szCs w:val="21"/>
                <w:lang w:val="en-US" w:eastAsia="zh-CN"/>
              </w:rPr>
              <w:t>可达</w:t>
            </w:r>
            <w:r>
              <w:rPr>
                <w:rFonts w:hint="default" w:ascii="Times New Roman" w:hAnsi="Times New Roman" w:eastAsia="仿宋_GB2312" w:cs="Times New Roman"/>
                <w:color w:val="000000"/>
                <w:sz w:val="21"/>
                <w:szCs w:val="21"/>
              </w:rPr>
              <w:t>950℃</w:t>
            </w:r>
            <w:r>
              <w:rPr>
                <w:rFonts w:hint="default" w:ascii="Times New Roman" w:hAnsi="Times New Roman" w:eastAsia="仿宋_GB2312" w:cs="Times New Roman"/>
                <w:color w:val="000000"/>
                <w:sz w:val="21"/>
                <w:szCs w:val="21"/>
                <w:lang w:eastAsia="zh-CN"/>
              </w:rPr>
              <w:t>；</w:t>
            </w:r>
          </w:p>
        </w:tc>
      </w:tr>
      <w:tr w14:paraId="7508CBF0">
        <w:tblPrEx>
          <w:tblCellMar>
            <w:top w:w="0" w:type="dxa"/>
            <w:left w:w="108" w:type="dxa"/>
            <w:bottom w:w="0" w:type="dxa"/>
            <w:right w:w="108" w:type="dxa"/>
          </w:tblCellMar>
        </w:tblPrEx>
        <w:trPr>
          <w:trHeight w:val="288" w:hRule="atLeast"/>
        </w:trPr>
        <w:tc>
          <w:tcPr>
            <w:tcW w:w="960" w:type="dxa"/>
            <w:vMerge w:val="continue"/>
            <w:tcBorders>
              <w:left w:val="single" w:color="auto" w:sz="4" w:space="0"/>
              <w:right w:val="single" w:color="000000" w:sz="4" w:space="0"/>
            </w:tcBorders>
            <w:shd w:val="clear" w:color="auto" w:fill="auto"/>
            <w:vAlign w:val="center"/>
          </w:tcPr>
          <w:p w14:paraId="616B337B">
            <w:pPr>
              <w:jc w:val="center"/>
              <w:rPr>
                <w:rFonts w:hint="eastAsia" w:ascii="仿宋_GB2312" w:hAnsi="仿宋_GB2312" w:eastAsia="仿宋_GB2312" w:cs="仿宋_GB2312"/>
                <w:color w:val="000000"/>
                <w:sz w:val="21"/>
                <w:szCs w:val="21"/>
              </w:rPr>
            </w:pPr>
          </w:p>
        </w:tc>
        <w:tc>
          <w:tcPr>
            <w:tcW w:w="1268" w:type="dxa"/>
            <w:vMerge w:val="continue"/>
            <w:tcBorders>
              <w:left w:val="single" w:color="000000" w:sz="4" w:space="0"/>
              <w:right w:val="single" w:color="auto" w:sz="4" w:space="0"/>
            </w:tcBorders>
            <w:shd w:val="clear" w:color="auto" w:fill="auto"/>
            <w:vAlign w:val="center"/>
          </w:tcPr>
          <w:p w14:paraId="78EB9A5C">
            <w:pPr>
              <w:jc w:val="center"/>
              <w:rPr>
                <w:rFonts w:hint="default" w:ascii="Times New Roman" w:hAnsi="Times New Roman" w:eastAsia="仿宋_GB2312" w:cs="Times New Roman"/>
                <w:color w:val="000000"/>
                <w:sz w:val="21"/>
                <w:szCs w:val="21"/>
              </w:rPr>
            </w:pPr>
          </w:p>
        </w:tc>
        <w:tc>
          <w:tcPr>
            <w:tcW w:w="5932" w:type="dxa"/>
            <w:tcBorders>
              <w:top w:val="single" w:color="000000" w:sz="4" w:space="0"/>
              <w:left w:val="single" w:color="auto" w:sz="4" w:space="0"/>
              <w:bottom w:val="single" w:color="000000" w:sz="4" w:space="0"/>
              <w:right w:val="single" w:color="000000" w:sz="4" w:space="0"/>
            </w:tcBorders>
            <w:shd w:val="clear" w:color="auto" w:fill="auto"/>
            <w:vAlign w:val="center"/>
          </w:tcPr>
          <w:p w14:paraId="79AE5434">
            <w:pPr>
              <w:widowControl/>
              <w:jc w:val="left"/>
              <w:textAlignment w:val="top"/>
              <w:rPr>
                <w:rFonts w:hint="default" w:ascii="Times New Roman" w:hAnsi="Times New Roman" w:eastAsia="仿宋_GB2312" w:cs="Times New Roman"/>
                <w:color w:val="000000"/>
                <w:sz w:val="21"/>
                <w:szCs w:val="21"/>
                <w:lang w:val="en-US" w:eastAsia="zh-CN"/>
              </w:rPr>
            </w:pPr>
            <w:r>
              <w:rPr>
                <w:rFonts w:hint="default" w:ascii="Times New Roman" w:hAnsi="Times New Roman" w:eastAsia="仿宋_GB2312" w:cs="Times New Roman"/>
                <w:color w:val="000000"/>
                <w:sz w:val="21"/>
                <w:szCs w:val="21"/>
                <w:lang w:val="en-US" w:eastAsia="zh-CN"/>
              </w:rPr>
              <w:t>5.</w:t>
            </w:r>
            <w:r>
              <w:rPr>
                <w:rFonts w:hint="default" w:ascii="Times New Roman" w:hAnsi="Times New Roman" w:eastAsia="仿宋_GB2312" w:cs="Times New Roman"/>
                <w:color w:val="000000"/>
                <w:sz w:val="21"/>
                <w:szCs w:val="21"/>
              </w:rPr>
              <w:t>探测器：PbSe红外光敏探测元件</w:t>
            </w:r>
            <w:r>
              <w:rPr>
                <w:rFonts w:hint="default" w:ascii="Times New Roman" w:hAnsi="Times New Roman" w:eastAsia="仿宋_GB2312" w:cs="Times New Roman"/>
                <w:color w:val="000000"/>
                <w:sz w:val="21"/>
                <w:szCs w:val="21"/>
                <w:lang w:eastAsia="zh-CN"/>
              </w:rPr>
              <w:t>；</w:t>
            </w:r>
          </w:p>
        </w:tc>
      </w:tr>
      <w:tr w14:paraId="59915053">
        <w:tblPrEx>
          <w:tblCellMar>
            <w:top w:w="0" w:type="dxa"/>
            <w:left w:w="108" w:type="dxa"/>
            <w:bottom w:w="0" w:type="dxa"/>
            <w:right w:w="108" w:type="dxa"/>
          </w:tblCellMar>
        </w:tblPrEx>
        <w:trPr>
          <w:trHeight w:val="576" w:hRule="atLeast"/>
        </w:trPr>
        <w:tc>
          <w:tcPr>
            <w:tcW w:w="960" w:type="dxa"/>
            <w:vMerge w:val="continue"/>
            <w:tcBorders>
              <w:left w:val="single" w:color="auto" w:sz="4" w:space="0"/>
              <w:right w:val="single" w:color="000000" w:sz="4" w:space="0"/>
            </w:tcBorders>
            <w:shd w:val="clear" w:color="auto" w:fill="auto"/>
            <w:vAlign w:val="center"/>
          </w:tcPr>
          <w:p w14:paraId="4D61A601">
            <w:pPr>
              <w:jc w:val="center"/>
              <w:rPr>
                <w:rFonts w:hint="eastAsia" w:ascii="仿宋_GB2312" w:hAnsi="仿宋_GB2312" w:eastAsia="仿宋_GB2312" w:cs="仿宋_GB2312"/>
                <w:color w:val="000000"/>
                <w:sz w:val="21"/>
                <w:szCs w:val="21"/>
              </w:rPr>
            </w:pPr>
          </w:p>
        </w:tc>
        <w:tc>
          <w:tcPr>
            <w:tcW w:w="1268" w:type="dxa"/>
            <w:vMerge w:val="continue"/>
            <w:tcBorders>
              <w:left w:val="single" w:color="000000" w:sz="4" w:space="0"/>
              <w:right w:val="single" w:color="auto" w:sz="4" w:space="0"/>
            </w:tcBorders>
            <w:shd w:val="clear" w:color="auto" w:fill="auto"/>
            <w:vAlign w:val="center"/>
          </w:tcPr>
          <w:p w14:paraId="78971F30">
            <w:pPr>
              <w:jc w:val="center"/>
              <w:rPr>
                <w:rFonts w:hint="default" w:ascii="Times New Roman" w:hAnsi="Times New Roman" w:eastAsia="仿宋_GB2312" w:cs="Times New Roman"/>
                <w:color w:val="000000"/>
                <w:sz w:val="21"/>
                <w:szCs w:val="21"/>
              </w:rPr>
            </w:pPr>
          </w:p>
        </w:tc>
        <w:tc>
          <w:tcPr>
            <w:tcW w:w="5932" w:type="dxa"/>
            <w:tcBorders>
              <w:top w:val="single" w:color="000000" w:sz="4" w:space="0"/>
              <w:left w:val="single" w:color="auto" w:sz="4" w:space="0"/>
              <w:bottom w:val="single" w:color="000000" w:sz="4" w:space="0"/>
              <w:right w:val="single" w:color="000000" w:sz="4" w:space="0"/>
            </w:tcBorders>
            <w:shd w:val="clear" w:color="auto" w:fill="auto"/>
            <w:vAlign w:val="center"/>
          </w:tcPr>
          <w:p w14:paraId="4913B26A">
            <w:pPr>
              <w:widowControl/>
              <w:jc w:val="left"/>
              <w:textAlignment w:val="top"/>
              <w:rPr>
                <w:rFonts w:hint="default" w:ascii="Times New Roman" w:hAnsi="Times New Roman" w:eastAsia="仿宋_GB2312" w:cs="Times New Roman"/>
                <w:color w:val="000000"/>
                <w:sz w:val="21"/>
                <w:szCs w:val="21"/>
                <w:lang w:val="en-US" w:eastAsia="zh-CN"/>
              </w:rPr>
            </w:pPr>
            <w:r>
              <w:rPr>
                <w:rFonts w:hint="default" w:ascii="Times New Roman" w:hAnsi="Times New Roman" w:eastAsia="仿宋_GB2312" w:cs="Times New Roman"/>
                <w:color w:val="000000"/>
                <w:sz w:val="21"/>
                <w:szCs w:val="21"/>
                <w:lang w:val="en-US" w:eastAsia="zh-CN"/>
              </w:rPr>
              <w:t>6.</w:t>
            </w:r>
            <w:r>
              <w:rPr>
                <w:rFonts w:hint="default" w:ascii="Times New Roman" w:hAnsi="Times New Roman" w:eastAsia="仿宋_GB2312" w:cs="Times New Roman"/>
                <w:color w:val="000000"/>
                <w:sz w:val="21"/>
                <w:szCs w:val="21"/>
              </w:rPr>
              <w:t>信号切变：斩光片断路器</w:t>
            </w:r>
            <w:r>
              <w:rPr>
                <w:rFonts w:hint="default" w:ascii="Times New Roman" w:hAnsi="Times New Roman" w:eastAsia="仿宋_GB2312" w:cs="Times New Roman"/>
                <w:color w:val="000000"/>
                <w:sz w:val="21"/>
                <w:szCs w:val="21"/>
                <w:lang w:eastAsia="zh-CN"/>
              </w:rPr>
              <w:t>；</w:t>
            </w:r>
          </w:p>
        </w:tc>
      </w:tr>
      <w:tr w14:paraId="13BF5553">
        <w:tblPrEx>
          <w:tblCellMar>
            <w:top w:w="0" w:type="dxa"/>
            <w:left w:w="108" w:type="dxa"/>
            <w:bottom w:w="0" w:type="dxa"/>
            <w:right w:w="108" w:type="dxa"/>
          </w:tblCellMar>
        </w:tblPrEx>
        <w:trPr>
          <w:trHeight w:val="576" w:hRule="atLeast"/>
        </w:trPr>
        <w:tc>
          <w:tcPr>
            <w:tcW w:w="960" w:type="dxa"/>
            <w:vMerge w:val="continue"/>
            <w:tcBorders>
              <w:left w:val="single" w:color="auto" w:sz="4" w:space="0"/>
              <w:right w:val="single" w:color="000000" w:sz="4" w:space="0"/>
            </w:tcBorders>
            <w:shd w:val="clear" w:color="auto" w:fill="auto"/>
            <w:vAlign w:val="center"/>
          </w:tcPr>
          <w:p w14:paraId="604B2297">
            <w:pPr>
              <w:jc w:val="center"/>
              <w:rPr>
                <w:rFonts w:hint="eastAsia" w:ascii="仿宋_GB2312" w:hAnsi="仿宋_GB2312" w:eastAsia="仿宋_GB2312" w:cs="仿宋_GB2312"/>
                <w:color w:val="000000"/>
                <w:sz w:val="21"/>
                <w:szCs w:val="21"/>
              </w:rPr>
            </w:pPr>
          </w:p>
        </w:tc>
        <w:tc>
          <w:tcPr>
            <w:tcW w:w="1268" w:type="dxa"/>
            <w:vMerge w:val="continue"/>
            <w:tcBorders>
              <w:left w:val="single" w:color="000000" w:sz="4" w:space="0"/>
              <w:right w:val="single" w:color="auto" w:sz="4" w:space="0"/>
            </w:tcBorders>
            <w:shd w:val="clear" w:color="auto" w:fill="auto"/>
            <w:vAlign w:val="center"/>
          </w:tcPr>
          <w:p w14:paraId="51F866B1">
            <w:pPr>
              <w:jc w:val="center"/>
              <w:rPr>
                <w:rFonts w:hint="default" w:ascii="Times New Roman" w:hAnsi="Times New Roman" w:eastAsia="仿宋_GB2312" w:cs="Times New Roman"/>
                <w:color w:val="000000"/>
                <w:sz w:val="21"/>
                <w:szCs w:val="21"/>
              </w:rPr>
            </w:pPr>
          </w:p>
        </w:tc>
        <w:tc>
          <w:tcPr>
            <w:tcW w:w="5932" w:type="dxa"/>
            <w:tcBorders>
              <w:top w:val="single" w:color="000000" w:sz="4" w:space="0"/>
              <w:left w:val="single" w:color="auto" w:sz="4" w:space="0"/>
              <w:bottom w:val="single" w:color="000000" w:sz="4" w:space="0"/>
              <w:right w:val="single" w:color="000000" w:sz="4" w:space="0"/>
            </w:tcBorders>
            <w:shd w:val="clear" w:color="auto" w:fill="auto"/>
            <w:vAlign w:val="center"/>
          </w:tcPr>
          <w:p w14:paraId="39C61A20">
            <w:pPr>
              <w:widowControl/>
              <w:jc w:val="left"/>
              <w:textAlignment w:val="top"/>
              <w:rPr>
                <w:rFonts w:hint="default" w:ascii="Times New Roman" w:hAnsi="Times New Roman" w:eastAsia="仿宋_GB2312" w:cs="Times New Roman"/>
                <w:color w:val="000000"/>
                <w:sz w:val="21"/>
                <w:szCs w:val="21"/>
                <w:lang w:val="en-US" w:eastAsia="zh-CN"/>
              </w:rPr>
            </w:pPr>
            <w:r>
              <w:rPr>
                <w:rFonts w:hint="default" w:ascii="Times New Roman" w:hAnsi="Times New Roman" w:eastAsia="仿宋_GB2312" w:cs="Times New Roman"/>
                <w:color w:val="000000"/>
                <w:sz w:val="21"/>
                <w:szCs w:val="21"/>
                <w:lang w:val="en-US" w:eastAsia="zh-CN"/>
              </w:rPr>
              <w:t>7.</w:t>
            </w:r>
            <w:r>
              <w:rPr>
                <w:rFonts w:hint="default" w:ascii="Times New Roman" w:hAnsi="Times New Roman" w:eastAsia="仿宋_GB2312" w:cs="Times New Roman"/>
                <w:color w:val="000000"/>
                <w:sz w:val="21"/>
                <w:szCs w:val="21"/>
              </w:rPr>
              <w:t>信号采集：带通滤波器+模数转换器+快速傅里叶变换软件</w:t>
            </w:r>
            <w:r>
              <w:rPr>
                <w:rFonts w:hint="default" w:ascii="Times New Roman" w:hAnsi="Times New Roman" w:eastAsia="仿宋_GB2312" w:cs="Times New Roman"/>
                <w:color w:val="000000"/>
                <w:sz w:val="21"/>
                <w:szCs w:val="21"/>
                <w:lang w:eastAsia="zh-CN"/>
              </w:rPr>
              <w:t>；</w:t>
            </w:r>
          </w:p>
        </w:tc>
      </w:tr>
      <w:tr w14:paraId="79257265">
        <w:tblPrEx>
          <w:tblCellMar>
            <w:top w:w="0" w:type="dxa"/>
            <w:left w:w="108" w:type="dxa"/>
            <w:bottom w:w="0" w:type="dxa"/>
            <w:right w:w="108" w:type="dxa"/>
          </w:tblCellMar>
        </w:tblPrEx>
        <w:trPr>
          <w:trHeight w:val="576" w:hRule="atLeast"/>
        </w:trPr>
        <w:tc>
          <w:tcPr>
            <w:tcW w:w="960" w:type="dxa"/>
            <w:vMerge w:val="continue"/>
            <w:tcBorders>
              <w:left w:val="single" w:color="auto" w:sz="4" w:space="0"/>
              <w:right w:val="single" w:color="000000" w:sz="4" w:space="0"/>
            </w:tcBorders>
            <w:shd w:val="clear" w:color="auto" w:fill="auto"/>
            <w:vAlign w:val="center"/>
          </w:tcPr>
          <w:p w14:paraId="792411D7">
            <w:pPr>
              <w:jc w:val="center"/>
              <w:rPr>
                <w:rFonts w:hint="eastAsia" w:ascii="仿宋_GB2312" w:hAnsi="仿宋_GB2312" w:eastAsia="仿宋_GB2312" w:cs="仿宋_GB2312"/>
                <w:color w:val="000000"/>
                <w:sz w:val="21"/>
                <w:szCs w:val="21"/>
              </w:rPr>
            </w:pPr>
          </w:p>
        </w:tc>
        <w:tc>
          <w:tcPr>
            <w:tcW w:w="1268" w:type="dxa"/>
            <w:vMerge w:val="continue"/>
            <w:tcBorders>
              <w:left w:val="single" w:color="000000" w:sz="4" w:space="0"/>
              <w:right w:val="single" w:color="auto" w:sz="4" w:space="0"/>
            </w:tcBorders>
            <w:shd w:val="clear" w:color="auto" w:fill="auto"/>
            <w:vAlign w:val="center"/>
          </w:tcPr>
          <w:p w14:paraId="4E143E0F">
            <w:pPr>
              <w:jc w:val="center"/>
              <w:rPr>
                <w:rFonts w:hint="default" w:ascii="Times New Roman" w:hAnsi="Times New Roman" w:eastAsia="仿宋_GB2312" w:cs="Times New Roman"/>
                <w:color w:val="000000"/>
                <w:sz w:val="21"/>
                <w:szCs w:val="21"/>
              </w:rPr>
            </w:pPr>
          </w:p>
        </w:tc>
        <w:tc>
          <w:tcPr>
            <w:tcW w:w="5932" w:type="dxa"/>
            <w:tcBorders>
              <w:top w:val="single" w:color="000000" w:sz="4" w:space="0"/>
              <w:left w:val="single" w:color="auto" w:sz="4" w:space="0"/>
              <w:bottom w:val="single" w:color="000000" w:sz="4" w:space="0"/>
              <w:right w:val="single" w:color="000000" w:sz="4" w:space="0"/>
            </w:tcBorders>
            <w:shd w:val="clear" w:color="auto" w:fill="auto"/>
            <w:vAlign w:val="center"/>
          </w:tcPr>
          <w:p w14:paraId="781ABA06">
            <w:pPr>
              <w:widowControl/>
              <w:jc w:val="left"/>
              <w:textAlignment w:val="top"/>
              <w:rPr>
                <w:rFonts w:hint="default" w:ascii="Times New Roman" w:hAnsi="Times New Roman" w:eastAsia="仿宋_GB2312" w:cs="Times New Roman"/>
                <w:color w:val="000000"/>
                <w:sz w:val="21"/>
                <w:szCs w:val="21"/>
                <w:lang w:val="en-US" w:eastAsia="zh-CN"/>
              </w:rPr>
            </w:pPr>
            <w:r>
              <w:rPr>
                <w:rFonts w:hint="default" w:ascii="Times New Roman" w:hAnsi="Times New Roman" w:eastAsia="仿宋_GB2312" w:cs="Times New Roman"/>
                <w:color w:val="000000"/>
                <w:sz w:val="21"/>
                <w:szCs w:val="21"/>
                <w:lang w:val="en-US" w:eastAsia="zh-CN"/>
              </w:rPr>
              <w:t>8.</w:t>
            </w:r>
            <w:r>
              <w:rPr>
                <w:rFonts w:hint="default" w:ascii="Times New Roman" w:hAnsi="Times New Roman" w:eastAsia="仿宋_GB2312" w:cs="Times New Roman"/>
                <w:color w:val="000000"/>
                <w:sz w:val="21"/>
                <w:szCs w:val="21"/>
              </w:rPr>
              <w:t>温控系统：采用电热元件、Peltier制冷元件的PID控制方式</w:t>
            </w:r>
            <w:r>
              <w:rPr>
                <w:rFonts w:hint="default" w:ascii="Times New Roman" w:hAnsi="Times New Roman" w:eastAsia="仿宋_GB2312" w:cs="Times New Roman"/>
                <w:color w:val="000000"/>
                <w:sz w:val="21"/>
                <w:szCs w:val="21"/>
                <w:lang w:eastAsia="zh-CN"/>
              </w:rPr>
              <w:t>；</w:t>
            </w:r>
          </w:p>
        </w:tc>
      </w:tr>
      <w:tr w14:paraId="337CF1DF">
        <w:tblPrEx>
          <w:tblCellMar>
            <w:top w:w="0" w:type="dxa"/>
            <w:left w:w="108" w:type="dxa"/>
            <w:bottom w:w="0" w:type="dxa"/>
            <w:right w:w="108" w:type="dxa"/>
          </w:tblCellMar>
        </w:tblPrEx>
        <w:trPr>
          <w:trHeight w:val="576" w:hRule="atLeast"/>
        </w:trPr>
        <w:tc>
          <w:tcPr>
            <w:tcW w:w="960" w:type="dxa"/>
            <w:vMerge w:val="continue"/>
            <w:tcBorders>
              <w:left w:val="single" w:color="auto" w:sz="4" w:space="0"/>
              <w:right w:val="single" w:color="000000" w:sz="4" w:space="0"/>
            </w:tcBorders>
            <w:shd w:val="clear" w:color="auto" w:fill="auto"/>
            <w:vAlign w:val="center"/>
          </w:tcPr>
          <w:p w14:paraId="2FEF161F">
            <w:pPr>
              <w:jc w:val="center"/>
              <w:rPr>
                <w:rFonts w:hint="eastAsia" w:ascii="仿宋_GB2312" w:hAnsi="仿宋_GB2312" w:eastAsia="仿宋_GB2312" w:cs="仿宋_GB2312"/>
                <w:color w:val="000000"/>
                <w:sz w:val="21"/>
                <w:szCs w:val="21"/>
              </w:rPr>
            </w:pPr>
          </w:p>
        </w:tc>
        <w:tc>
          <w:tcPr>
            <w:tcW w:w="1268" w:type="dxa"/>
            <w:vMerge w:val="continue"/>
            <w:tcBorders>
              <w:left w:val="single" w:color="000000" w:sz="4" w:space="0"/>
              <w:right w:val="single" w:color="auto" w:sz="4" w:space="0"/>
            </w:tcBorders>
            <w:shd w:val="clear" w:color="auto" w:fill="auto"/>
            <w:vAlign w:val="center"/>
          </w:tcPr>
          <w:p w14:paraId="02CA4830">
            <w:pPr>
              <w:jc w:val="center"/>
              <w:rPr>
                <w:rFonts w:hint="default" w:ascii="Times New Roman" w:hAnsi="Times New Roman" w:eastAsia="仿宋_GB2312" w:cs="Times New Roman"/>
                <w:color w:val="000000"/>
                <w:sz w:val="21"/>
                <w:szCs w:val="21"/>
              </w:rPr>
            </w:pPr>
          </w:p>
        </w:tc>
        <w:tc>
          <w:tcPr>
            <w:tcW w:w="5932" w:type="dxa"/>
            <w:tcBorders>
              <w:top w:val="single" w:color="000000" w:sz="4" w:space="0"/>
              <w:left w:val="single" w:color="auto" w:sz="4" w:space="0"/>
              <w:bottom w:val="single" w:color="000000" w:sz="4" w:space="0"/>
              <w:right w:val="single" w:color="000000" w:sz="4" w:space="0"/>
            </w:tcBorders>
            <w:shd w:val="clear" w:color="auto" w:fill="auto"/>
            <w:vAlign w:val="center"/>
          </w:tcPr>
          <w:p w14:paraId="4447F7CA">
            <w:pPr>
              <w:widowControl/>
              <w:jc w:val="left"/>
              <w:textAlignment w:val="top"/>
              <w:rPr>
                <w:rFonts w:hint="default" w:ascii="Times New Roman" w:hAnsi="Times New Roman" w:eastAsia="仿宋_GB2312" w:cs="Times New Roman"/>
                <w:color w:val="000000"/>
                <w:sz w:val="21"/>
                <w:szCs w:val="21"/>
                <w:lang w:val="en-US" w:eastAsia="zh-CN"/>
              </w:rPr>
            </w:pPr>
            <w:r>
              <w:rPr>
                <w:rFonts w:hint="default" w:ascii="Times New Roman" w:hAnsi="Times New Roman" w:eastAsia="仿宋_GB2312" w:cs="Times New Roman"/>
                <w:color w:val="000000"/>
                <w:sz w:val="21"/>
                <w:szCs w:val="21"/>
                <w:lang w:val="en-US" w:eastAsia="zh-CN"/>
              </w:rPr>
              <w:t>9.</w:t>
            </w:r>
            <w:r>
              <w:rPr>
                <w:rFonts w:hint="default" w:ascii="Times New Roman" w:hAnsi="Times New Roman" w:eastAsia="仿宋_GB2312" w:cs="Times New Roman"/>
                <w:color w:val="000000"/>
                <w:sz w:val="21"/>
                <w:szCs w:val="21"/>
              </w:rPr>
              <w:t>进样系统：微型电磁气阀和精密步进电机控制的气缸式进样系统</w:t>
            </w:r>
            <w:r>
              <w:rPr>
                <w:rFonts w:hint="default" w:ascii="Times New Roman" w:hAnsi="Times New Roman" w:eastAsia="仿宋_GB2312" w:cs="Times New Roman"/>
                <w:color w:val="000000"/>
                <w:sz w:val="21"/>
                <w:szCs w:val="21"/>
                <w:lang w:eastAsia="zh-CN"/>
              </w:rPr>
              <w:t>；</w:t>
            </w:r>
          </w:p>
        </w:tc>
      </w:tr>
      <w:tr w14:paraId="3704EDB6">
        <w:tblPrEx>
          <w:tblCellMar>
            <w:top w:w="0" w:type="dxa"/>
            <w:left w:w="108" w:type="dxa"/>
            <w:bottom w:w="0" w:type="dxa"/>
            <w:right w:w="108" w:type="dxa"/>
          </w:tblCellMar>
        </w:tblPrEx>
        <w:trPr>
          <w:trHeight w:val="90" w:hRule="atLeast"/>
        </w:trPr>
        <w:tc>
          <w:tcPr>
            <w:tcW w:w="960" w:type="dxa"/>
            <w:vMerge w:val="continue"/>
            <w:tcBorders>
              <w:left w:val="single" w:color="auto" w:sz="4" w:space="0"/>
              <w:right w:val="single" w:color="000000" w:sz="4" w:space="0"/>
            </w:tcBorders>
            <w:shd w:val="clear" w:color="auto" w:fill="auto"/>
            <w:vAlign w:val="center"/>
          </w:tcPr>
          <w:p w14:paraId="2AC3B9B2">
            <w:pPr>
              <w:jc w:val="center"/>
              <w:rPr>
                <w:rFonts w:hint="eastAsia" w:ascii="仿宋_GB2312" w:hAnsi="仿宋_GB2312" w:eastAsia="仿宋_GB2312" w:cs="仿宋_GB2312"/>
                <w:color w:val="000000"/>
                <w:sz w:val="21"/>
                <w:szCs w:val="21"/>
              </w:rPr>
            </w:pPr>
          </w:p>
        </w:tc>
        <w:tc>
          <w:tcPr>
            <w:tcW w:w="1268" w:type="dxa"/>
            <w:vMerge w:val="continue"/>
            <w:tcBorders>
              <w:left w:val="single" w:color="000000" w:sz="4" w:space="0"/>
              <w:right w:val="single" w:color="auto" w:sz="4" w:space="0"/>
            </w:tcBorders>
            <w:shd w:val="clear" w:color="auto" w:fill="auto"/>
            <w:vAlign w:val="center"/>
          </w:tcPr>
          <w:p w14:paraId="203C413F">
            <w:pPr>
              <w:jc w:val="center"/>
              <w:rPr>
                <w:rFonts w:hint="default" w:ascii="Times New Roman" w:hAnsi="Times New Roman" w:eastAsia="仿宋_GB2312" w:cs="Times New Roman"/>
                <w:color w:val="000000"/>
                <w:sz w:val="21"/>
                <w:szCs w:val="21"/>
              </w:rPr>
            </w:pPr>
          </w:p>
        </w:tc>
        <w:tc>
          <w:tcPr>
            <w:tcW w:w="5932" w:type="dxa"/>
            <w:tcBorders>
              <w:top w:val="single" w:color="000000" w:sz="4" w:space="0"/>
              <w:left w:val="single" w:color="auto" w:sz="4" w:space="0"/>
              <w:bottom w:val="single" w:color="000000" w:sz="4" w:space="0"/>
              <w:right w:val="single" w:color="000000" w:sz="4" w:space="0"/>
            </w:tcBorders>
            <w:shd w:val="clear" w:color="auto" w:fill="auto"/>
            <w:vAlign w:val="center"/>
          </w:tcPr>
          <w:p w14:paraId="5F5A5C93">
            <w:pPr>
              <w:widowControl/>
              <w:jc w:val="left"/>
              <w:textAlignment w:val="top"/>
              <w:rPr>
                <w:rFonts w:hint="default" w:ascii="Times New Roman" w:hAnsi="Times New Roman" w:eastAsia="仿宋_GB2312" w:cs="Times New Roman"/>
                <w:color w:val="000000"/>
                <w:sz w:val="21"/>
                <w:szCs w:val="21"/>
                <w:lang w:val="en-US" w:eastAsia="zh-CN"/>
              </w:rPr>
            </w:pPr>
            <w:r>
              <w:rPr>
                <w:rFonts w:hint="default" w:ascii="Times New Roman" w:hAnsi="Times New Roman" w:eastAsia="仿宋_GB2312" w:cs="Times New Roman"/>
                <w:color w:val="000000"/>
                <w:sz w:val="21"/>
                <w:szCs w:val="21"/>
              </w:rPr>
              <w:t>▲</w:t>
            </w:r>
            <w:r>
              <w:rPr>
                <w:rFonts w:hint="default" w:ascii="Times New Roman" w:hAnsi="Times New Roman" w:eastAsia="仿宋_GB2312" w:cs="Times New Roman"/>
                <w:color w:val="000000"/>
                <w:sz w:val="21"/>
                <w:szCs w:val="21"/>
                <w:lang w:val="en-US" w:eastAsia="zh-CN"/>
              </w:rPr>
              <w:t>10.剂型：</w:t>
            </w:r>
            <w:r>
              <w:rPr>
                <w:rFonts w:hint="default" w:ascii="Times New Roman" w:hAnsi="Times New Roman" w:eastAsia="仿宋_GB2312" w:cs="Times New Roman"/>
                <w:color w:val="000000"/>
                <w:sz w:val="21"/>
                <w:szCs w:val="21"/>
              </w:rPr>
              <w:t>尿素【13C】药品直达胃部无口腔杂菌干扰</w:t>
            </w:r>
            <w:r>
              <w:rPr>
                <w:rFonts w:hint="default" w:ascii="Times New Roman" w:hAnsi="Times New Roman" w:eastAsia="仿宋_GB2312" w:cs="Times New Roman"/>
                <w:color w:val="000000"/>
                <w:sz w:val="21"/>
                <w:szCs w:val="21"/>
                <w:lang w:eastAsia="zh-CN"/>
              </w:rPr>
              <w:t>；</w:t>
            </w:r>
          </w:p>
        </w:tc>
      </w:tr>
      <w:tr w14:paraId="15A11681">
        <w:tblPrEx>
          <w:tblCellMar>
            <w:top w:w="0" w:type="dxa"/>
            <w:left w:w="108" w:type="dxa"/>
            <w:bottom w:w="0" w:type="dxa"/>
            <w:right w:w="108" w:type="dxa"/>
          </w:tblCellMar>
        </w:tblPrEx>
        <w:trPr>
          <w:trHeight w:val="90" w:hRule="atLeast"/>
        </w:trPr>
        <w:tc>
          <w:tcPr>
            <w:tcW w:w="960" w:type="dxa"/>
            <w:vMerge w:val="continue"/>
            <w:tcBorders>
              <w:left w:val="single" w:color="auto" w:sz="4" w:space="0"/>
              <w:right w:val="single" w:color="000000" w:sz="4" w:space="0"/>
            </w:tcBorders>
            <w:shd w:val="clear" w:color="auto" w:fill="auto"/>
            <w:vAlign w:val="center"/>
          </w:tcPr>
          <w:p w14:paraId="6DEFCE44">
            <w:pPr>
              <w:jc w:val="center"/>
              <w:rPr>
                <w:rFonts w:hint="eastAsia" w:ascii="仿宋_GB2312" w:hAnsi="仿宋_GB2312" w:eastAsia="仿宋_GB2312" w:cs="仿宋_GB2312"/>
                <w:color w:val="000000"/>
                <w:sz w:val="21"/>
                <w:szCs w:val="21"/>
              </w:rPr>
            </w:pPr>
          </w:p>
        </w:tc>
        <w:tc>
          <w:tcPr>
            <w:tcW w:w="1268" w:type="dxa"/>
            <w:vMerge w:val="continue"/>
            <w:tcBorders>
              <w:left w:val="single" w:color="000000" w:sz="4" w:space="0"/>
              <w:right w:val="single" w:color="auto" w:sz="4" w:space="0"/>
            </w:tcBorders>
            <w:shd w:val="clear" w:color="auto" w:fill="auto"/>
            <w:vAlign w:val="center"/>
          </w:tcPr>
          <w:p w14:paraId="2A8DAF85">
            <w:pPr>
              <w:jc w:val="center"/>
              <w:rPr>
                <w:rFonts w:hint="default" w:ascii="Times New Roman" w:hAnsi="Times New Roman" w:eastAsia="仿宋_GB2312" w:cs="Times New Roman"/>
                <w:color w:val="000000"/>
                <w:sz w:val="21"/>
                <w:szCs w:val="21"/>
              </w:rPr>
            </w:pPr>
          </w:p>
        </w:tc>
        <w:tc>
          <w:tcPr>
            <w:tcW w:w="5932" w:type="dxa"/>
            <w:tcBorders>
              <w:top w:val="single" w:color="000000" w:sz="4" w:space="0"/>
              <w:left w:val="single" w:color="auto" w:sz="4" w:space="0"/>
              <w:bottom w:val="single" w:color="000000" w:sz="4" w:space="0"/>
              <w:right w:val="single" w:color="000000" w:sz="4" w:space="0"/>
            </w:tcBorders>
            <w:shd w:val="clear" w:color="auto" w:fill="auto"/>
            <w:vAlign w:val="center"/>
          </w:tcPr>
          <w:p w14:paraId="51478188">
            <w:pPr>
              <w:widowControl/>
              <w:jc w:val="left"/>
              <w:textAlignment w:val="top"/>
              <w:rPr>
                <w:rFonts w:hint="default" w:ascii="Times New Roman" w:hAnsi="Times New Roman" w:eastAsia="仿宋_GB2312" w:cs="Times New Roman"/>
                <w:color w:val="000000"/>
                <w:sz w:val="21"/>
                <w:szCs w:val="21"/>
                <w:lang w:val="en-US" w:eastAsia="zh-CN"/>
              </w:rPr>
            </w:pPr>
            <w:r>
              <w:rPr>
                <w:rFonts w:hint="default" w:ascii="Times New Roman" w:hAnsi="Times New Roman" w:eastAsia="仿宋_GB2312" w:cs="Times New Roman"/>
                <w:color w:val="000000"/>
                <w:sz w:val="21"/>
                <w:szCs w:val="21"/>
              </w:rPr>
              <w:t>▲</w:t>
            </w:r>
            <w:r>
              <w:rPr>
                <w:rFonts w:hint="default" w:ascii="Times New Roman" w:hAnsi="Times New Roman" w:eastAsia="仿宋_GB2312" w:cs="Times New Roman"/>
                <w:color w:val="000000"/>
                <w:sz w:val="21"/>
                <w:szCs w:val="21"/>
                <w:lang w:val="en-US" w:eastAsia="zh-CN"/>
              </w:rPr>
              <w:t>11.剂量：</w:t>
            </w:r>
            <w:r>
              <w:rPr>
                <w:rFonts w:hint="default" w:ascii="Times New Roman" w:hAnsi="Times New Roman" w:eastAsia="仿宋_GB2312" w:cs="Times New Roman"/>
                <w:color w:val="000000"/>
                <w:sz w:val="21"/>
                <w:szCs w:val="21"/>
              </w:rPr>
              <w:t>尿素【13C】75mg</w:t>
            </w:r>
            <w:r>
              <w:rPr>
                <w:rFonts w:hint="default" w:ascii="Times New Roman" w:hAnsi="Times New Roman" w:eastAsia="仿宋_GB2312" w:cs="Times New Roman"/>
                <w:color w:val="000000"/>
                <w:sz w:val="21"/>
                <w:szCs w:val="21"/>
                <w:lang w:eastAsia="zh-CN"/>
              </w:rPr>
              <w:t>；</w:t>
            </w:r>
          </w:p>
        </w:tc>
      </w:tr>
      <w:tr w14:paraId="44802E43">
        <w:tblPrEx>
          <w:tblCellMar>
            <w:top w:w="0" w:type="dxa"/>
            <w:left w:w="108" w:type="dxa"/>
            <w:bottom w:w="0" w:type="dxa"/>
            <w:right w:w="108" w:type="dxa"/>
          </w:tblCellMar>
        </w:tblPrEx>
        <w:trPr>
          <w:trHeight w:val="90" w:hRule="atLeast"/>
        </w:trPr>
        <w:tc>
          <w:tcPr>
            <w:tcW w:w="960" w:type="dxa"/>
            <w:vMerge w:val="continue"/>
            <w:tcBorders>
              <w:left w:val="single" w:color="auto" w:sz="4" w:space="0"/>
              <w:right w:val="single" w:color="000000" w:sz="4" w:space="0"/>
            </w:tcBorders>
            <w:shd w:val="clear" w:color="auto" w:fill="auto"/>
            <w:vAlign w:val="center"/>
          </w:tcPr>
          <w:p w14:paraId="64FB78CF">
            <w:pPr>
              <w:jc w:val="center"/>
              <w:rPr>
                <w:rFonts w:hint="eastAsia" w:ascii="仿宋_GB2312" w:hAnsi="仿宋_GB2312" w:eastAsia="仿宋_GB2312" w:cs="仿宋_GB2312"/>
                <w:color w:val="000000"/>
                <w:sz w:val="21"/>
                <w:szCs w:val="21"/>
              </w:rPr>
            </w:pPr>
          </w:p>
        </w:tc>
        <w:tc>
          <w:tcPr>
            <w:tcW w:w="1268" w:type="dxa"/>
            <w:vMerge w:val="continue"/>
            <w:tcBorders>
              <w:left w:val="single" w:color="000000" w:sz="4" w:space="0"/>
              <w:right w:val="single" w:color="auto" w:sz="4" w:space="0"/>
            </w:tcBorders>
            <w:shd w:val="clear" w:color="auto" w:fill="auto"/>
            <w:vAlign w:val="center"/>
          </w:tcPr>
          <w:p w14:paraId="14E2753E">
            <w:pPr>
              <w:jc w:val="center"/>
              <w:rPr>
                <w:rFonts w:hint="default" w:ascii="Times New Roman" w:hAnsi="Times New Roman" w:eastAsia="仿宋_GB2312" w:cs="Times New Roman"/>
                <w:color w:val="000000"/>
                <w:sz w:val="21"/>
                <w:szCs w:val="21"/>
              </w:rPr>
            </w:pPr>
          </w:p>
        </w:tc>
        <w:tc>
          <w:tcPr>
            <w:tcW w:w="5932" w:type="dxa"/>
            <w:tcBorders>
              <w:top w:val="single" w:color="000000" w:sz="4" w:space="0"/>
              <w:left w:val="single" w:color="auto" w:sz="4" w:space="0"/>
              <w:bottom w:val="single" w:color="000000" w:sz="4" w:space="0"/>
              <w:right w:val="single" w:color="000000" w:sz="4" w:space="0"/>
            </w:tcBorders>
            <w:shd w:val="clear" w:color="auto" w:fill="auto"/>
            <w:vAlign w:val="center"/>
          </w:tcPr>
          <w:p w14:paraId="5452D1F3">
            <w:pPr>
              <w:widowControl/>
              <w:jc w:val="left"/>
              <w:textAlignment w:val="top"/>
              <w:rPr>
                <w:rFonts w:hint="default" w:ascii="Times New Roman" w:hAnsi="Times New Roman" w:eastAsia="仿宋_GB2312" w:cs="Times New Roman"/>
                <w:color w:val="000000"/>
                <w:sz w:val="21"/>
                <w:szCs w:val="21"/>
                <w:lang w:val="en-US" w:eastAsia="zh-CN"/>
              </w:rPr>
            </w:pPr>
            <w:r>
              <w:rPr>
                <w:rFonts w:hint="default" w:ascii="Times New Roman" w:hAnsi="Times New Roman" w:eastAsia="仿宋_GB2312" w:cs="Times New Roman"/>
                <w:color w:val="000000"/>
                <w:sz w:val="21"/>
                <w:szCs w:val="21"/>
              </w:rPr>
              <w:t>▲</w:t>
            </w:r>
            <w:r>
              <w:rPr>
                <w:rFonts w:hint="default" w:ascii="Times New Roman" w:hAnsi="Times New Roman" w:eastAsia="仿宋_GB2312" w:cs="Times New Roman"/>
                <w:color w:val="000000"/>
                <w:sz w:val="21"/>
                <w:szCs w:val="21"/>
                <w:lang w:val="en-US" w:eastAsia="zh-CN"/>
              </w:rPr>
              <w:t>12.定标校准：</w:t>
            </w:r>
            <w:r>
              <w:rPr>
                <w:rFonts w:hint="default" w:ascii="Times New Roman" w:hAnsi="Times New Roman" w:eastAsia="仿宋_GB2312" w:cs="Times New Roman"/>
                <w:color w:val="000000"/>
                <w:sz w:val="21"/>
                <w:szCs w:val="21"/>
              </w:rPr>
              <w:t>不需要定期使用标准气体校准曲线</w:t>
            </w:r>
            <w:r>
              <w:rPr>
                <w:rFonts w:hint="default" w:ascii="Times New Roman" w:hAnsi="Times New Roman" w:eastAsia="仿宋_GB2312" w:cs="Times New Roman"/>
                <w:color w:val="000000"/>
                <w:sz w:val="21"/>
                <w:szCs w:val="21"/>
                <w:lang w:eastAsia="zh-CN"/>
              </w:rPr>
              <w:t>。</w:t>
            </w:r>
          </w:p>
        </w:tc>
      </w:tr>
      <w:tr w14:paraId="199BA3AD">
        <w:tblPrEx>
          <w:tblCellMar>
            <w:top w:w="0" w:type="dxa"/>
            <w:left w:w="108" w:type="dxa"/>
            <w:bottom w:w="0" w:type="dxa"/>
            <w:right w:w="108" w:type="dxa"/>
          </w:tblCellMar>
        </w:tblPrEx>
        <w:trPr>
          <w:trHeight w:val="2270" w:hRule="atLeast"/>
        </w:trPr>
        <w:tc>
          <w:tcPr>
            <w:tcW w:w="960" w:type="dxa"/>
            <w:vMerge w:val="continue"/>
            <w:tcBorders>
              <w:left w:val="single" w:color="auto" w:sz="4" w:space="0"/>
              <w:bottom w:val="single" w:color="auto" w:sz="4" w:space="0"/>
              <w:right w:val="single" w:color="000000" w:sz="4" w:space="0"/>
            </w:tcBorders>
            <w:shd w:val="clear" w:color="auto" w:fill="auto"/>
            <w:vAlign w:val="center"/>
          </w:tcPr>
          <w:p w14:paraId="6EAC70E7">
            <w:pPr>
              <w:jc w:val="center"/>
              <w:rPr>
                <w:rFonts w:hint="eastAsia" w:ascii="仿宋_GB2312" w:hAnsi="仿宋_GB2312" w:eastAsia="仿宋_GB2312" w:cs="仿宋_GB2312"/>
                <w:color w:val="000000"/>
                <w:sz w:val="21"/>
                <w:szCs w:val="21"/>
              </w:rPr>
            </w:pPr>
          </w:p>
        </w:tc>
        <w:tc>
          <w:tcPr>
            <w:tcW w:w="1268" w:type="dxa"/>
            <w:vMerge w:val="continue"/>
            <w:tcBorders>
              <w:left w:val="single" w:color="000000" w:sz="4" w:space="0"/>
              <w:bottom w:val="single" w:color="auto" w:sz="4" w:space="0"/>
              <w:right w:val="single" w:color="auto" w:sz="4" w:space="0"/>
            </w:tcBorders>
            <w:shd w:val="clear" w:color="auto" w:fill="auto"/>
            <w:vAlign w:val="center"/>
          </w:tcPr>
          <w:p w14:paraId="089BD89C">
            <w:pPr>
              <w:jc w:val="center"/>
              <w:rPr>
                <w:rFonts w:hint="default" w:ascii="Times New Roman" w:hAnsi="Times New Roman" w:eastAsia="仿宋_GB2312" w:cs="Times New Roman"/>
                <w:color w:val="000000"/>
                <w:sz w:val="21"/>
                <w:szCs w:val="21"/>
              </w:rPr>
            </w:pPr>
          </w:p>
        </w:tc>
        <w:tc>
          <w:tcPr>
            <w:tcW w:w="5932" w:type="dxa"/>
            <w:tcBorders>
              <w:top w:val="single" w:color="000000" w:sz="4" w:space="0"/>
              <w:left w:val="single" w:color="auto" w:sz="4" w:space="0"/>
              <w:bottom w:val="single" w:color="000000" w:sz="4" w:space="0"/>
              <w:right w:val="single" w:color="000000" w:sz="4" w:space="0"/>
            </w:tcBorders>
            <w:shd w:val="clear" w:color="auto" w:fill="auto"/>
            <w:vAlign w:val="center"/>
          </w:tcPr>
          <w:p w14:paraId="3A54376B">
            <w:pPr>
              <w:jc w:val="both"/>
              <w:rPr>
                <w:rFonts w:hint="default" w:ascii="Times New Roman" w:hAnsi="Times New Roman" w:eastAsia="仿宋_GB2312" w:cs="Times New Roman"/>
                <w:b/>
                <w:szCs w:val="21"/>
              </w:rPr>
            </w:pPr>
            <w:r>
              <w:rPr>
                <w:rFonts w:hint="default" w:ascii="Times New Roman" w:hAnsi="Times New Roman" w:eastAsia="仿宋_GB2312" w:cs="Times New Roman"/>
                <w:b/>
                <w:szCs w:val="21"/>
              </w:rPr>
              <w:t>★配置清单：</w:t>
            </w:r>
          </w:p>
          <w:p w14:paraId="10435A24">
            <w:pPr>
              <w:widowControl/>
              <w:jc w:val="both"/>
              <w:textAlignment w:val="bottom"/>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1.电源线（250V，10A）      1</w:t>
            </w:r>
          </w:p>
          <w:p w14:paraId="715F7D06">
            <w:pPr>
              <w:widowControl/>
              <w:jc w:val="both"/>
              <w:textAlignment w:val="bottom"/>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2.USB线                   1</w:t>
            </w:r>
          </w:p>
          <w:p w14:paraId="29482D8F">
            <w:pPr>
              <w:widowControl/>
              <w:jc w:val="both"/>
              <w:textAlignment w:val="bottom"/>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 xml:space="preserve">3.集气袋（4.5L)           </w:t>
            </w:r>
            <w:r>
              <w:rPr>
                <w:rFonts w:hint="eastAsia" w:ascii="Times New Roman" w:hAnsi="Times New Roman" w:eastAsia="仿宋_GB2312" w:cs="Times New Roman"/>
                <w:sz w:val="21"/>
                <w:szCs w:val="21"/>
                <w:lang w:val="en-US" w:eastAsia="zh-CN"/>
              </w:rPr>
              <w:t xml:space="preserve"> </w:t>
            </w:r>
            <w:r>
              <w:rPr>
                <w:rFonts w:hint="default" w:ascii="Times New Roman" w:hAnsi="Times New Roman" w:eastAsia="仿宋_GB2312" w:cs="Times New Roman"/>
                <w:sz w:val="21"/>
                <w:szCs w:val="21"/>
                <w:lang w:val="en-US" w:eastAsia="zh-CN"/>
              </w:rPr>
              <w:t xml:space="preserve"> 1</w:t>
            </w:r>
          </w:p>
          <w:p w14:paraId="035732BA">
            <w:pPr>
              <w:widowControl/>
              <w:jc w:val="both"/>
              <w:textAlignment w:val="bottom"/>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4.说明书                   1</w:t>
            </w:r>
          </w:p>
          <w:p w14:paraId="09E8AB6D">
            <w:pPr>
              <w:widowControl/>
              <w:jc w:val="both"/>
              <w:textAlignment w:val="bottom"/>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5.仪器基础培训             1</w:t>
            </w:r>
          </w:p>
          <w:p w14:paraId="032E98E2">
            <w:pPr>
              <w:widowControl/>
              <w:jc w:val="both"/>
              <w:textAlignment w:val="bottom"/>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6.快捷操作指南             1</w:t>
            </w:r>
          </w:p>
          <w:p w14:paraId="67E9CE37">
            <w:pPr>
              <w:widowControl/>
              <w:jc w:val="both"/>
              <w:textAlignment w:val="bottom"/>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7.顾客培训记录             1</w:t>
            </w:r>
          </w:p>
          <w:p w14:paraId="01FA1DF6">
            <w:pPr>
              <w:widowControl/>
              <w:jc w:val="both"/>
              <w:textAlignment w:val="bottom"/>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8.U盘                     1</w:t>
            </w:r>
          </w:p>
          <w:p w14:paraId="6A746AB3">
            <w:pPr>
              <w:widowControl/>
              <w:jc w:val="both"/>
              <w:textAlignment w:val="bottom"/>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9.装箱单                   1</w:t>
            </w:r>
          </w:p>
          <w:p w14:paraId="73C8DA2D">
            <w:pPr>
              <w:widowControl/>
              <w:jc w:val="both"/>
              <w:textAlignment w:val="bottom"/>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10.客户验收单              1</w:t>
            </w:r>
          </w:p>
          <w:p w14:paraId="43F3F547">
            <w:pPr>
              <w:widowControl/>
              <w:jc w:val="both"/>
              <w:textAlignment w:val="bottom"/>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11.合格证、保修卡          1</w:t>
            </w:r>
          </w:p>
          <w:p w14:paraId="1BB73EBC">
            <w:pPr>
              <w:widowControl/>
              <w:jc w:val="both"/>
              <w:textAlignment w:val="bottom"/>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12.CO2吸收器               1</w:t>
            </w:r>
          </w:p>
          <w:p w14:paraId="492ABA6F">
            <w:pPr>
              <w:widowControl/>
              <w:jc w:val="both"/>
              <w:textAlignment w:val="bottom"/>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13.CO2吸收器保护罩         1</w:t>
            </w:r>
          </w:p>
        </w:tc>
      </w:tr>
    </w:tbl>
    <w:p w14:paraId="40EBA90C">
      <w:pPr>
        <w:numPr>
          <w:ilvl w:val="0"/>
          <w:numId w:val="0"/>
        </w:numPr>
        <w:ind w:left="360" w:leftChars="0" w:hanging="360" w:firstLineChars="0"/>
        <w:rPr>
          <w:rFonts w:hint="eastAsia" w:ascii="黑体" w:hAnsi="黑体" w:eastAsia="黑体" w:cs="黑体"/>
          <w:color w:val="000000"/>
          <w:sz w:val="28"/>
          <w:szCs w:val="28"/>
        </w:rPr>
      </w:pPr>
    </w:p>
    <w:p w14:paraId="6574AA4F">
      <w:pPr>
        <w:numPr>
          <w:ilvl w:val="0"/>
          <w:numId w:val="0"/>
        </w:numPr>
        <w:ind w:left="360" w:leftChars="0" w:hanging="360" w:firstLineChars="0"/>
        <w:rPr>
          <w:rFonts w:hint="eastAsia" w:ascii="仿宋_GB2312" w:hAnsi="仿宋_GB2312" w:eastAsia="仿宋_GB2312" w:cs="仿宋_GB2312"/>
          <w:b/>
          <w:bCs/>
          <w:color w:val="000000"/>
          <w:sz w:val="24"/>
          <w:szCs w:val="24"/>
          <w:highlight w:val="none"/>
          <w:u w:val="single"/>
        </w:rPr>
      </w:pPr>
      <w:r>
        <w:rPr>
          <w:rFonts w:hint="eastAsia" w:ascii="黑体" w:hAnsi="黑体" w:eastAsia="黑体" w:cs="黑体"/>
          <w:color w:val="000000"/>
          <w:sz w:val="28"/>
          <w:szCs w:val="28"/>
        </w:rPr>
        <w:t>四、商务要求</w:t>
      </w:r>
    </w:p>
    <w:p w14:paraId="39BD4399">
      <w:pPr>
        <w:ind w:firstLine="420" w:firstLineChars="200"/>
        <w:rPr>
          <w:rFonts w:ascii="仿宋_GB2312" w:hAnsi="仿宋_GB2312" w:eastAsia="仿宋_GB2312" w:cs="仿宋_GB2312"/>
          <w:bCs/>
          <w:szCs w:val="21"/>
        </w:rPr>
      </w:pPr>
      <w:r>
        <w:rPr>
          <w:rFonts w:hint="eastAsia" w:ascii="仿宋_GB2312" w:hAnsi="仿宋_GB2312" w:eastAsia="仿宋_GB2312" w:cs="仿宋_GB2312"/>
          <w:bCs/>
          <w:szCs w:val="21"/>
          <w:lang w:eastAsia="zh-CN"/>
        </w:rPr>
        <w:t>（</w:t>
      </w:r>
      <w:r>
        <w:rPr>
          <w:rFonts w:hint="eastAsia" w:ascii="仿宋_GB2312" w:hAnsi="仿宋_GB2312" w:eastAsia="仿宋_GB2312" w:cs="仿宋_GB2312"/>
          <w:bCs/>
          <w:szCs w:val="21"/>
          <w:lang w:val="en-US" w:eastAsia="zh-CN"/>
        </w:rPr>
        <w:t>一</w:t>
      </w:r>
      <w:r>
        <w:rPr>
          <w:rFonts w:hint="eastAsia" w:ascii="仿宋_GB2312" w:hAnsi="仿宋_GB2312" w:eastAsia="仿宋_GB2312" w:cs="仿宋_GB2312"/>
          <w:bCs/>
          <w:szCs w:val="21"/>
          <w:lang w:eastAsia="zh-CN"/>
        </w:rPr>
        <w:t>）</w:t>
      </w:r>
      <w:r>
        <w:rPr>
          <w:rFonts w:hint="eastAsia" w:ascii="仿宋_GB2312" w:hAnsi="仿宋_GB2312" w:eastAsia="仿宋_GB2312" w:cs="仿宋_GB2312"/>
          <w:bCs/>
          <w:szCs w:val="21"/>
        </w:rPr>
        <w:t>带“★”指标项为实质性条款，如出现负偏离，将被视为未实质性满足</w:t>
      </w:r>
      <w:r>
        <w:rPr>
          <w:rFonts w:hint="eastAsia" w:ascii="仿宋_GB2312" w:hAnsi="仿宋_GB2312" w:eastAsia="仿宋_GB2312" w:cs="仿宋_GB2312"/>
          <w:bCs/>
          <w:szCs w:val="21"/>
          <w:lang w:val="en-US" w:eastAsia="zh-CN"/>
        </w:rPr>
        <w:t>商务</w:t>
      </w:r>
      <w:r>
        <w:rPr>
          <w:rFonts w:hint="eastAsia" w:ascii="仿宋_GB2312" w:hAnsi="仿宋_GB2312" w:eastAsia="仿宋_GB2312" w:cs="仿宋_GB2312"/>
          <w:bCs/>
          <w:szCs w:val="21"/>
        </w:rPr>
        <w:t>要求作投标无效处理。</w:t>
      </w:r>
    </w:p>
    <w:tbl>
      <w:tblPr>
        <w:tblStyle w:val="16"/>
        <w:tblW w:w="88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3"/>
        <w:gridCol w:w="1757"/>
        <w:gridCol w:w="5940"/>
      </w:tblGrid>
      <w:tr w14:paraId="0A553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3" w:type="dxa"/>
            <w:tcBorders>
              <w:top w:val="single" w:color="auto" w:sz="4" w:space="0"/>
              <w:left w:val="single" w:color="auto" w:sz="4" w:space="0"/>
              <w:bottom w:val="single" w:color="auto" w:sz="4" w:space="0"/>
              <w:right w:val="single" w:color="auto" w:sz="4" w:space="0"/>
            </w:tcBorders>
            <w:vAlign w:val="center"/>
          </w:tcPr>
          <w:p w14:paraId="7D08ACEC">
            <w:pPr>
              <w:spacing w:line="34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序号</w:t>
            </w:r>
          </w:p>
        </w:tc>
        <w:tc>
          <w:tcPr>
            <w:tcW w:w="1757" w:type="dxa"/>
            <w:tcBorders>
              <w:top w:val="single" w:color="auto" w:sz="4" w:space="0"/>
              <w:left w:val="single" w:color="auto" w:sz="4" w:space="0"/>
              <w:bottom w:val="single" w:color="auto" w:sz="4" w:space="0"/>
              <w:right w:val="single" w:color="auto" w:sz="4" w:space="0"/>
            </w:tcBorders>
            <w:vAlign w:val="center"/>
          </w:tcPr>
          <w:p w14:paraId="61A62E2F">
            <w:pPr>
              <w:spacing w:line="34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目录</w:t>
            </w:r>
          </w:p>
        </w:tc>
        <w:tc>
          <w:tcPr>
            <w:tcW w:w="5940" w:type="dxa"/>
            <w:tcBorders>
              <w:top w:val="single" w:color="auto" w:sz="4" w:space="0"/>
              <w:left w:val="single" w:color="auto" w:sz="4" w:space="0"/>
              <w:bottom w:val="single" w:color="auto" w:sz="4" w:space="0"/>
              <w:right w:val="single" w:color="auto" w:sz="4" w:space="0"/>
            </w:tcBorders>
            <w:vAlign w:val="center"/>
          </w:tcPr>
          <w:p w14:paraId="73B5A273">
            <w:pPr>
              <w:spacing w:line="34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商务要求</w:t>
            </w:r>
          </w:p>
        </w:tc>
      </w:tr>
      <w:tr w14:paraId="209E0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820" w:type="dxa"/>
            <w:gridSpan w:val="3"/>
            <w:tcBorders>
              <w:top w:val="single" w:color="auto" w:sz="4" w:space="0"/>
              <w:left w:val="single" w:color="auto" w:sz="4" w:space="0"/>
              <w:bottom w:val="single" w:color="auto" w:sz="4" w:space="0"/>
              <w:right w:val="single" w:color="auto" w:sz="4" w:space="0"/>
            </w:tcBorders>
          </w:tcPr>
          <w:p w14:paraId="387B0494">
            <w:pPr>
              <w:spacing w:line="340" w:lineRule="exact"/>
              <w:rPr>
                <w:rFonts w:ascii="仿宋_GB2312" w:hAnsi="仿宋_GB2312" w:eastAsia="仿宋_GB2312" w:cs="仿宋_GB2312"/>
                <w:b/>
                <w:szCs w:val="21"/>
              </w:rPr>
            </w:pPr>
            <w:r>
              <w:rPr>
                <w:rFonts w:hint="eastAsia" w:ascii="仿宋_GB2312" w:hAnsi="仿宋_GB2312" w:eastAsia="仿宋_GB2312" w:cs="仿宋_GB2312"/>
                <w:b/>
                <w:szCs w:val="21"/>
              </w:rPr>
              <w:t>（一）免费保修期内售后服务要求</w:t>
            </w:r>
          </w:p>
        </w:tc>
      </w:tr>
      <w:tr w14:paraId="4C4D1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123" w:type="dxa"/>
            <w:vMerge w:val="restart"/>
            <w:tcBorders>
              <w:top w:val="single" w:color="auto" w:sz="4" w:space="0"/>
              <w:left w:val="single" w:color="auto" w:sz="4" w:space="0"/>
              <w:right w:val="single" w:color="auto" w:sz="4" w:space="0"/>
            </w:tcBorders>
            <w:vAlign w:val="center"/>
          </w:tcPr>
          <w:p w14:paraId="4AD08712">
            <w:pPr>
              <w:spacing w:line="3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1</w:t>
            </w:r>
          </w:p>
        </w:tc>
        <w:tc>
          <w:tcPr>
            <w:tcW w:w="1757" w:type="dxa"/>
            <w:vMerge w:val="restart"/>
            <w:tcBorders>
              <w:top w:val="single" w:color="auto" w:sz="4" w:space="0"/>
              <w:left w:val="single" w:color="auto" w:sz="4" w:space="0"/>
              <w:right w:val="single" w:color="auto" w:sz="4" w:space="0"/>
            </w:tcBorders>
            <w:vAlign w:val="center"/>
          </w:tcPr>
          <w:p w14:paraId="3A38CFEC">
            <w:pPr>
              <w:spacing w:line="340" w:lineRule="exact"/>
              <w:jc w:val="center"/>
              <w:rPr>
                <w:rFonts w:ascii="仿宋_GB2312" w:hAnsi="仿宋_GB2312" w:eastAsia="仿宋_GB2312" w:cs="仿宋_GB2312"/>
                <w:szCs w:val="21"/>
              </w:rPr>
            </w:pPr>
            <w:r>
              <w:rPr>
                <w:rFonts w:hint="eastAsia" w:ascii="仿宋_GB2312" w:hAnsi="仿宋_GB2312" w:eastAsia="仿宋_GB2312" w:cs="仿宋_GB2312"/>
                <w:szCs w:val="21"/>
              </w:rPr>
              <w:t>维修响应及故障解决时间</w:t>
            </w:r>
          </w:p>
        </w:tc>
        <w:tc>
          <w:tcPr>
            <w:tcW w:w="5940" w:type="dxa"/>
            <w:tcBorders>
              <w:top w:val="single" w:color="auto" w:sz="4" w:space="0"/>
              <w:left w:val="single" w:color="auto" w:sz="4" w:space="0"/>
              <w:bottom w:val="single" w:color="auto" w:sz="4" w:space="0"/>
              <w:right w:val="single" w:color="auto" w:sz="4" w:space="0"/>
            </w:tcBorders>
            <w:vAlign w:val="top"/>
          </w:tcPr>
          <w:p w14:paraId="081DB219">
            <w:pPr>
              <w:spacing w:line="340" w:lineRule="exact"/>
              <w:jc w:val="left"/>
              <w:rPr>
                <w:rFonts w:ascii="仿宋_GB2312" w:hAnsi="仿宋_GB2312" w:eastAsia="仿宋_GB2312" w:cs="仿宋_GB2312"/>
                <w:b/>
                <w:szCs w:val="21"/>
              </w:rPr>
            </w:pPr>
            <w:r>
              <w:rPr>
                <w:rFonts w:hint="eastAsia" w:ascii="仿宋_GB2312" w:hAnsi="仿宋_GB2312" w:eastAsia="仿宋_GB2312" w:cs="仿宋_GB2312"/>
                <w:bCs/>
                <w:color w:val="000000" w:themeColor="text1"/>
                <w:szCs w:val="21"/>
                <w:lang w:val="en-US" w:eastAsia="zh-CN"/>
                <w14:textFill>
                  <w14:solidFill>
                    <w14:schemeClr w14:val="tx1"/>
                  </w14:solidFill>
                </w14:textFill>
              </w:rPr>
              <w:t>1.1免费保修期内，一旦发生质量问题，中标人保证接到通知</w:t>
            </w:r>
            <w:r>
              <w:rPr>
                <w:rFonts w:hint="eastAsia" w:ascii="仿宋_GB2312" w:hAnsi="仿宋_GB2312" w:eastAsia="仿宋_GB2312" w:cs="仿宋_GB2312"/>
                <w:bCs/>
                <w:color w:val="000000" w:themeColor="text1"/>
                <w:szCs w:val="21"/>
                <w:u w:val="single"/>
                <w:lang w:val="en-US" w:eastAsia="zh-CN"/>
                <w14:textFill>
                  <w14:solidFill>
                    <w14:schemeClr w14:val="tx1"/>
                  </w14:solidFill>
                </w14:textFill>
              </w:rPr>
              <w:t>后2</w:t>
            </w:r>
            <w:r>
              <w:rPr>
                <w:rFonts w:hint="eastAsia" w:ascii="仿宋_GB2312" w:hAnsi="仿宋_GB2312" w:eastAsia="仿宋_GB2312" w:cs="仿宋_GB2312"/>
                <w:bCs/>
                <w:color w:val="000000" w:themeColor="text1"/>
                <w:szCs w:val="21"/>
                <w14:textFill>
                  <w14:solidFill>
                    <w14:schemeClr w14:val="tx1"/>
                  </w14:solidFill>
                </w14:textFill>
              </w:rPr>
              <w:t>小时响应，</w:t>
            </w:r>
            <w:r>
              <w:rPr>
                <w:rFonts w:hint="eastAsia" w:ascii="仿宋_GB2312" w:hAnsi="仿宋_GB2312" w:eastAsia="仿宋_GB2312" w:cs="仿宋_GB2312"/>
                <w:bCs/>
                <w:color w:val="000000" w:themeColor="text1"/>
                <w:szCs w:val="21"/>
                <w:u w:val="single"/>
                <w:lang w:val="en-US" w:eastAsia="zh-CN"/>
                <w14:textFill>
                  <w14:solidFill>
                    <w14:schemeClr w14:val="tx1"/>
                  </w14:solidFill>
                </w14:textFill>
              </w:rPr>
              <w:t>12</w:t>
            </w:r>
            <w:r>
              <w:rPr>
                <w:rFonts w:hint="eastAsia" w:ascii="仿宋_GB2312" w:hAnsi="仿宋_GB2312" w:eastAsia="仿宋_GB2312" w:cs="仿宋_GB2312"/>
                <w:bCs/>
                <w:color w:val="000000" w:themeColor="text1"/>
                <w:szCs w:val="21"/>
                <w14:textFill>
                  <w14:solidFill>
                    <w14:schemeClr w14:val="tx1"/>
                  </w14:solidFill>
                </w14:textFill>
              </w:rPr>
              <w:t>小时到场维修</w:t>
            </w:r>
            <w:r>
              <w:rPr>
                <w:rFonts w:hint="eastAsia" w:ascii="仿宋_GB2312" w:hAnsi="仿宋_GB2312" w:eastAsia="仿宋_GB2312" w:cs="仿宋_GB2312"/>
                <w:bCs/>
                <w:color w:val="000000" w:themeColor="text1"/>
                <w:szCs w:val="21"/>
                <w:lang w:eastAsia="zh-CN"/>
                <w14:textFill>
                  <w14:solidFill>
                    <w14:schemeClr w14:val="tx1"/>
                  </w14:solidFill>
                </w14:textFill>
              </w:rPr>
              <w:t>，</w:t>
            </w:r>
            <w:r>
              <w:rPr>
                <w:rFonts w:hint="eastAsia" w:ascii="仿宋_GB2312" w:hAnsi="仿宋_GB2312" w:eastAsia="仿宋_GB2312" w:cs="仿宋_GB2312"/>
                <w:bCs/>
                <w:color w:val="000000" w:themeColor="text1"/>
                <w:szCs w:val="21"/>
                <w:highlight w:val="none"/>
                <w14:textFill>
                  <w14:solidFill>
                    <w14:schemeClr w14:val="tx1"/>
                  </w14:solidFill>
                </w14:textFill>
              </w:rPr>
              <w:t>无法现场完成维修的，需 24 小时内提供可使用的备用机替代</w:t>
            </w:r>
            <w:r>
              <w:rPr>
                <w:rFonts w:hint="eastAsia" w:ascii="仿宋_GB2312" w:hAnsi="仿宋_GB2312" w:eastAsia="仿宋_GB2312" w:cs="仿宋_GB2312"/>
                <w:bCs/>
                <w:color w:val="000000" w:themeColor="text1"/>
                <w:szCs w:val="21"/>
                <w:highlight w:val="none"/>
                <w:lang w:eastAsia="zh-CN"/>
                <w14:textFill>
                  <w14:solidFill>
                    <w14:schemeClr w14:val="tx1"/>
                  </w14:solidFill>
                </w14:textFill>
              </w:rPr>
              <w:t>，确保</w:t>
            </w:r>
            <w:r>
              <w:rPr>
                <w:rFonts w:hint="eastAsia" w:ascii="仿宋_GB2312" w:hAnsi="仿宋_GB2312" w:eastAsia="仿宋_GB2312" w:cs="仿宋_GB2312"/>
                <w:bCs/>
                <w:color w:val="000000" w:themeColor="text1"/>
                <w:szCs w:val="21"/>
                <w:highlight w:val="none"/>
                <w:lang w:val="en-US" w:eastAsia="zh-CN"/>
                <w14:textFill>
                  <w14:solidFill>
                    <w14:schemeClr w14:val="tx1"/>
                  </w14:solidFill>
                </w14:textFill>
              </w:rPr>
              <w:t>临床工作</w:t>
            </w:r>
            <w:r>
              <w:rPr>
                <w:rFonts w:hint="eastAsia" w:ascii="仿宋_GB2312" w:hAnsi="仿宋_GB2312" w:eastAsia="仿宋_GB2312" w:cs="仿宋_GB2312"/>
                <w:bCs/>
                <w:color w:val="000000" w:themeColor="text1"/>
                <w:szCs w:val="21"/>
                <w:highlight w:val="none"/>
                <w:lang w:eastAsia="zh-CN"/>
                <w14:textFill>
                  <w14:solidFill>
                    <w14:schemeClr w14:val="tx1"/>
                  </w14:solidFill>
                </w14:textFill>
              </w:rPr>
              <w:t>顺利进行。</w:t>
            </w:r>
          </w:p>
        </w:tc>
      </w:tr>
      <w:tr w14:paraId="70023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123" w:type="dxa"/>
            <w:vMerge w:val="continue"/>
            <w:tcBorders>
              <w:left w:val="single" w:color="auto" w:sz="4" w:space="0"/>
              <w:right w:val="single" w:color="auto" w:sz="4" w:space="0"/>
            </w:tcBorders>
            <w:vAlign w:val="center"/>
          </w:tcPr>
          <w:p w14:paraId="4331CD57">
            <w:pPr>
              <w:spacing w:line="340" w:lineRule="exact"/>
              <w:jc w:val="center"/>
              <w:rPr>
                <w:rFonts w:hint="eastAsia" w:ascii="仿宋_GB2312" w:hAnsi="仿宋_GB2312" w:eastAsia="仿宋_GB2312" w:cs="仿宋_GB2312"/>
                <w:bCs/>
                <w:szCs w:val="21"/>
              </w:rPr>
            </w:pPr>
          </w:p>
        </w:tc>
        <w:tc>
          <w:tcPr>
            <w:tcW w:w="1757" w:type="dxa"/>
            <w:vMerge w:val="continue"/>
            <w:tcBorders>
              <w:left w:val="single" w:color="auto" w:sz="4" w:space="0"/>
              <w:right w:val="single" w:color="auto" w:sz="4" w:space="0"/>
            </w:tcBorders>
            <w:vAlign w:val="center"/>
          </w:tcPr>
          <w:p w14:paraId="7FB92F89">
            <w:pPr>
              <w:spacing w:line="340" w:lineRule="exact"/>
              <w:jc w:val="center"/>
              <w:rPr>
                <w:rFonts w:hint="eastAsia" w:ascii="仿宋_GB2312" w:hAnsi="仿宋_GB2312" w:eastAsia="仿宋_GB2312" w:cs="仿宋_GB2312"/>
                <w:szCs w:val="21"/>
              </w:rPr>
            </w:pPr>
          </w:p>
        </w:tc>
        <w:tc>
          <w:tcPr>
            <w:tcW w:w="5940" w:type="dxa"/>
            <w:tcBorders>
              <w:top w:val="single" w:color="auto" w:sz="4" w:space="0"/>
              <w:left w:val="single" w:color="auto" w:sz="4" w:space="0"/>
              <w:bottom w:val="single" w:color="auto" w:sz="4" w:space="0"/>
              <w:right w:val="single" w:color="auto" w:sz="4" w:space="0"/>
            </w:tcBorders>
            <w:vAlign w:val="top"/>
          </w:tcPr>
          <w:p w14:paraId="1AFE713A">
            <w:pPr>
              <w:spacing w:line="340" w:lineRule="exact"/>
              <w:jc w:val="left"/>
              <w:rPr>
                <w:rFonts w:hint="eastAsia" w:ascii="仿宋_GB2312" w:hAnsi="仿宋_GB2312" w:eastAsia="仿宋_GB2312" w:cs="仿宋_GB2312"/>
                <w:bCs/>
                <w:color w:val="000000" w:themeColor="text1"/>
                <w:szCs w:val="21"/>
                <w:lang w:val="en-US" w:eastAsia="zh-CN"/>
                <w14:textFill>
                  <w14:solidFill>
                    <w14:schemeClr w14:val="tx1"/>
                  </w14:solidFill>
                </w14:textFill>
              </w:rPr>
            </w:pPr>
            <w:r>
              <w:rPr>
                <w:rFonts w:hint="eastAsia" w:ascii="仿宋_GB2312" w:hAnsi="仿宋_GB2312" w:eastAsia="仿宋_GB2312" w:cs="仿宋_GB2312"/>
                <w:bCs/>
                <w:color w:val="000000" w:themeColor="text1"/>
                <w:szCs w:val="21"/>
                <w:highlight w:val="none"/>
                <w:lang w:val="en-US" w:eastAsia="zh-CN"/>
                <w14:textFill>
                  <w14:solidFill>
                    <w14:schemeClr w14:val="tx1"/>
                  </w14:solidFill>
                </w14:textFill>
              </w:rPr>
              <w:t>1.2</w:t>
            </w:r>
            <w:r>
              <w:rPr>
                <w:rFonts w:hint="eastAsia" w:ascii="仿宋_GB2312" w:hAnsi="仿宋_GB2312" w:eastAsia="仿宋_GB2312" w:cs="仿宋_GB2312"/>
                <w:bCs/>
                <w:color w:val="000000" w:themeColor="text1"/>
                <w:szCs w:val="21"/>
                <w14:textFill>
                  <w14:solidFill>
                    <w14:schemeClr w14:val="tx1"/>
                  </w14:solidFill>
                </w14:textFill>
              </w:rPr>
              <w:t>按需及时更换零配件，不需要更换配件的情况下</w:t>
            </w:r>
            <w:r>
              <w:rPr>
                <w:rFonts w:hint="eastAsia" w:ascii="仿宋_GB2312" w:hAnsi="仿宋_GB2312" w:eastAsia="仿宋_GB2312" w:cs="仿宋_GB2312"/>
                <w:bCs/>
                <w:color w:val="000000" w:themeColor="text1"/>
                <w:szCs w:val="21"/>
                <w:lang w:val="en-US" w:eastAsia="zh-CN"/>
                <w14:textFill>
                  <w14:solidFill>
                    <w14:schemeClr w14:val="tx1"/>
                  </w14:solidFill>
                </w14:textFill>
              </w:rPr>
              <w:t>4</w:t>
            </w:r>
            <w:r>
              <w:rPr>
                <w:rFonts w:hint="eastAsia" w:ascii="仿宋_GB2312" w:hAnsi="仿宋_GB2312" w:eastAsia="仿宋_GB2312" w:cs="仿宋_GB2312"/>
                <w:bCs/>
                <w:color w:val="000000" w:themeColor="text1"/>
                <w:szCs w:val="21"/>
                <w14:textFill>
                  <w14:solidFill>
                    <w14:schemeClr w14:val="tx1"/>
                  </w14:solidFill>
                </w14:textFill>
              </w:rPr>
              <w:t>小时内修复；需要更换配件的情况下，按</w:t>
            </w:r>
            <w:r>
              <w:rPr>
                <w:rFonts w:hint="eastAsia" w:ascii="仿宋_GB2312" w:hAnsi="仿宋_GB2312" w:eastAsia="仿宋_GB2312" w:cs="仿宋_GB2312"/>
                <w:bCs/>
                <w:color w:val="000000" w:themeColor="text1"/>
                <w:szCs w:val="21"/>
                <w:lang w:eastAsia="zh-CN"/>
                <w14:textFill>
                  <w14:solidFill>
                    <w14:schemeClr w14:val="tx1"/>
                  </w14:solidFill>
                </w14:textFill>
              </w:rPr>
              <w:t>采购人</w:t>
            </w:r>
            <w:r>
              <w:rPr>
                <w:rFonts w:hint="eastAsia" w:ascii="仿宋_GB2312" w:hAnsi="仿宋_GB2312" w:eastAsia="仿宋_GB2312" w:cs="仿宋_GB2312"/>
                <w:bCs/>
                <w:color w:val="000000" w:themeColor="text1"/>
                <w:szCs w:val="21"/>
                <w14:textFill>
                  <w14:solidFill>
                    <w14:schemeClr w14:val="tx1"/>
                  </w14:solidFill>
                </w14:textFill>
              </w:rPr>
              <w:t>要求提供备用机。单次故障停机修复时间不得超过</w:t>
            </w:r>
            <w:r>
              <w:rPr>
                <w:rFonts w:hint="eastAsia" w:ascii="仿宋_GB2312" w:hAnsi="仿宋_GB2312" w:eastAsia="仿宋_GB2312" w:cs="仿宋_GB2312"/>
                <w:bCs/>
                <w:color w:val="000000" w:themeColor="text1"/>
                <w:szCs w:val="21"/>
                <w:lang w:val="en-US" w:eastAsia="zh-CN"/>
                <w14:textFill>
                  <w14:solidFill>
                    <w14:schemeClr w14:val="tx1"/>
                  </w14:solidFill>
                </w14:textFill>
              </w:rPr>
              <w:t>3</w:t>
            </w:r>
            <w:r>
              <w:rPr>
                <w:rFonts w:hint="eastAsia" w:ascii="仿宋_GB2312" w:hAnsi="仿宋_GB2312" w:eastAsia="仿宋_GB2312" w:cs="仿宋_GB2312"/>
                <w:bCs/>
                <w:color w:val="000000" w:themeColor="text1"/>
                <w:szCs w:val="21"/>
                <w14:textFill>
                  <w14:solidFill>
                    <w14:schemeClr w14:val="tx1"/>
                  </w14:solidFill>
                </w14:textFill>
              </w:rPr>
              <w:t>天，每超</w:t>
            </w:r>
            <w:r>
              <w:rPr>
                <w:rFonts w:hint="eastAsia" w:ascii="仿宋_GB2312" w:hAnsi="仿宋_GB2312" w:eastAsia="仿宋_GB2312" w:cs="仿宋_GB2312"/>
                <w:bCs/>
                <w:color w:val="000000" w:themeColor="text1"/>
                <w:szCs w:val="21"/>
                <w:lang w:val="en-US" w:eastAsia="zh-CN"/>
                <w14:textFill>
                  <w14:solidFill>
                    <w14:schemeClr w14:val="tx1"/>
                  </w14:solidFill>
                </w14:textFill>
              </w:rPr>
              <w:t>1</w:t>
            </w:r>
            <w:r>
              <w:rPr>
                <w:rFonts w:hint="eastAsia" w:ascii="仿宋_GB2312" w:hAnsi="仿宋_GB2312" w:eastAsia="仿宋_GB2312" w:cs="仿宋_GB2312"/>
                <w:bCs/>
                <w:color w:val="000000" w:themeColor="text1"/>
                <w:szCs w:val="21"/>
                <w14:textFill>
                  <w14:solidFill>
                    <w14:schemeClr w14:val="tx1"/>
                  </w14:solidFill>
                </w14:textFill>
              </w:rPr>
              <w:t>天，顺延保修期</w:t>
            </w:r>
            <w:r>
              <w:rPr>
                <w:rFonts w:hint="eastAsia" w:ascii="仿宋_GB2312" w:hAnsi="仿宋_GB2312" w:eastAsia="仿宋_GB2312" w:cs="仿宋_GB2312"/>
                <w:bCs/>
                <w:color w:val="000000" w:themeColor="text1"/>
                <w:szCs w:val="21"/>
                <w:lang w:val="en-US" w:eastAsia="zh-CN"/>
                <w14:textFill>
                  <w14:solidFill>
                    <w14:schemeClr w14:val="tx1"/>
                  </w14:solidFill>
                </w14:textFill>
              </w:rPr>
              <w:t>3</w:t>
            </w:r>
            <w:r>
              <w:rPr>
                <w:rFonts w:hint="eastAsia" w:ascii="仿宋_GB2312" w:hAnsi="仿宋_GB2312" w:eastAsia="仿宋_GB2312" w:cs="仿宋_GB2312"/>
                <w:bCs/>
                <w:color w:val="000000" w:themeColor="text1"/>
                <w:szCs w:val="21"/>
                <w14:textFill>
                  <w14:solidFill>
                    <w14:schemeClr w14:val="tx1"/>
                  </w14:solidFill>
                </w14:textFill>
              </w:rPr>
              <w:t>天。</w:t>
            </w:r>
          </w:p>
        </w:tc>
      </w:tr>
      <w:tr w14:paraId="79E05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123" w:type="dxa"/>
            <w:vMerge w:val="continue"/>
            <w:tcBorders>
              <w:left w:val="single" w:color="auto" w:sz="4" w:space="0"/>
              <w:right w:val="single" w:color="auto" w:sz="4" w:space="0"/>
            </w:tcBorders>
            <w:vAlign w:val="center"/>
          </w:tcPr>
          <w:p w14:paraId="3ED2D79E">
            <w:pPr>
              <w:spacing w:line="340" w:lineRule="exact"/>
              <w:jc w:val="center"/>
              <w:rPr>
                <w:rFonts w:hint="eastAsia" w:ascii="仿宋_GB2312" w:hAnsi="仿宋_GB2312" w:eastAsia="仿宋_GB2312" w:cs="仿宋_GB2312"/>
                <w:bCs/>
                <w:szCs w:val="21"/>
              </w:rPr>
            </w:pPr>
          </w:p>
        </w:tc>
        <w:tc>
          <w:tcPr>
            <w:tcW w:w="1757" w:type="dxa"/>
            <w:vMerge w:val="continue"/>
            <w:tcBorders>
              <w:left w:val="single" w:color="auto" w:sz="4" w:space="0"/>
              <w:right w:val="single" w:color="auto" w:sz="4" w:space="0"/>
            </w:tcBorders>
            <w:vAlign w:val="center"/>
          </w:tcPr>
          <w:p w14:paraId="341E58C7">
            <w:pPr>
              <w:spacing w:line="340" w:lineRule="exact"/>
              <w:jc w:val="center"/>
              <w:rPr>
                <w:rFonts w:hint="eastAsia" w:ascii="仿宋_GB2312" w:hAnsi="仿宋_GB2312" w:eastAsia="仿宋_GB2312" w:cs="仿宋_GB2312"/>
                <w:szCs w:val="21"/>
              </w:rPr>
            </w:pPr>
          </w:p>
        </w:tc>
        <w:tc>
          <w:tcPr>
            <w:tcW w:w="5940" w:type="dxa"/>
            <w:tcBorders>
              <w:top w:val="single" w:color="auto" w:sz="4" w:space="0"/>
              <w:left w:val="single" w:color="auto" w:sz="4" w:space="0"/>
              <w:bottom w:val="single" w:color="auto" w:sz="4" w:space="0"/>
              <w:right w:val="single" w:color="auto" w:sz="4" w:space="0"/>
            </w:tcBorders>
            <w:vAlign w:val="top"/>
          </w:tcPr>
          <w:p w14:paraId="40202E83">
            <w:pPr>
              <w:spacing w:line="340" w:lineRule="exact"/>
              <w:jc w:val="left"/>
              <w:rPr>
                <w:rFonts w:hint="eastAsia" w:ascii="仿宋_GB2312" w:hAnsi="仿宋_GB2312" w:eastAsia="仿宋_GB2312" w:cs="仿宋_GB2312"/>
                <w:bCs/>
                <w:color w:val="000000" w:themeColor="text1"/>
                <w:szCs w:val="21"/>
                <w:lang w:val="en-US" w:eastAsia="zh-CN"/>
                <w14:textFill>
                  <w14:solidFill>
                    <w14:schemeClr w14:val="tx1"/>
                  </w14:solidFill>
                </w14:textFill>
              </w:rPr>
            </w:pPr>
            <w:r>
              <w:rPr>
                <w:rFonts w:hint="eastAsia" w:ascii="仿宋_GB2312" w:hAnsi="仿宋_GB2312" w:eastAsia="仿宋_GB2312" w:cs="仿宋_GB2312"/>
                <w:bCs/>
                <w:color w:val="000000" w:themeColor="text1"/>
                <w:szCs w:val="21"/>
                <w:lang w:val="en-US" w:eastAsia="zh-CN"/>
                <w14:textFill>
                  <w14:solidFill>
                    <w14:schemeClr w14:val="tx1"/>
                  </w14:solidFill>
                </w14:textFill>
              </w:rPr>
              <w:t>1.3</w:t>
            </w:r>
            <w:r>
              <w:rPr>
                <w:rFonts w:hint="eastAsia" w:ascii="仿宋_GB2312" w:hAnsi="仿宋_GB2312" w:eastAsia="仿宋_GB2312" w:cs="仿宋_GB2312"/>
                <w:bCs/>
                <w:color w:val="000000" w:themeColor="text1"/>
                <w:szCs w:val="21"/>
                <w14:textFill>
                  <w14:solidFill>
                    <w14:schemeClr w14:val="tx1"/>
                  </w14:solidFill>
                </w14:textFill>
              </w:rPr>
              <w:t>如果国内没有配件需要从国外发货的情况下，单次故障停机修复时间不得超过</w:t>
            </w:r>
            <w:r>
              <w:rPr>
                <w:rFonts w:hint="eastAsia" w:ascii="仿宋_GB2312" w:hAnsi="仿宋_GB2312" w:eastAsia="仿宋_GB2312" w:cs="仿宋_GB2312"/>
                <w:bCs/>
                <w:color w:val="000000" w:themeColor="text1"/>
                <w:szCs w:val="21"/>
                <w:lang w:val="en-US" w:eastAsia="zh-CN"/>
                <w14:textFill>
                  <w14:solidFill>
                    <w14:schemeClr w14:val="tx1"/>
                  </w14:solidFill>
                </w14:textFill>
              </w:rPr>
              <w:t>15</w:t>
            </w:r>
            <w:r>
              <w:rPr>
                <w:rFonts w:hint="eastAsia" w:ascii="仿宋_GB2312" w:hAnsi="仿宋_GB2312" w:eastAsia="仿宋_GB2312" w:cs="仿宋_GB2312"/>
                <w:bCs/>
                <w:color w:val="000000" w:themeColor="text1"/>
                <w:szCs w:val="21"/>
                <w14:textFill>
                  <w14:solidFill>
                    <w14:schemeClr w14:val="tx1"/>
                  </w14:solidFill>
                </w14:textFill>
              </w:rPr>
              <w:t>天（需提供海关报关单等证明材料），每超1天，顺延保修期</w:t>
            </w:r>
            <w:r>
              <w:rPr>
                <w:rFonts w:hint="eastAsia" w:ascii="仿宋_GB2312" w:hAnsi="仿宋_GB2312" w:eastAsia="仿宋_GB2312" w:cs="仿宋_GB2312"/>
                <w:bCs/>
                <w:color w:val="000000" w:themeColor="text1"/>
                <w:szCs w:val="21"/>
                <w:lang w:val="en-US" w:eastAsia="zh-CN"/>
                <w14:textFill>
                  <w14:solidFill>
                    <w14:schemeClr w14:val="tx1"/>
                  </w14:solidFill>
                </w14:textFill>
              </w:rPr>
              <w:t>3</w:t>
            </w:r>
            <w:r>
              <w:rPr>
                <w:rFonts w:hint="eastAsia" w:ascii="仿宋_GB2312" w:hAnsi="仿宋_GB2312" w:eastAsia="仿宋_GB2312" w:cs="仿宋_GB2312"/>
                <w:bCs/>
                <w:color w:val="000000" w:themeColor="text1"/>
                <w:szCs w:val="21"/>
                <w14:textFill>
                  <w14:solidFill>
                    <w14:schemeClr w14:val="tx1"/>
                  </w14:solidFill>
                </w14:textFill>
              </w:rPr>
              <w:t>天。</w:t>
            </w:r>
          </w:p>
        </w:tc>
      </w:tr>
      <w:tr w14:paraId="28FE5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123" w:type="dxa"/>
            <w:vMerge w:val="continue"/>
            <w:tcBorders>
              <w:left w:val="single" w:color="auto" w:sz="4" w:space="0"/>
              <w:bottom w:val="single" w:color="auto" w:sz="4" w:space="0"/>
              <w:right w:val="single" w:color="auto" w:sz="4" w:space="0"/>
            </w:tcBorders>
            <w:vAlign w:val="center"/>
          </w:tcPr>
          <w:p w14:paraId="72C87815">
            <w:pPr>
              <w:spacing w:line="340" w:lineRule="exact"/>
              <w:jc w:val="center"/>
              <w:rPr>
                <w:rFonts w:hint="eastAsia" w:ascii="仿宋_GB2312" w:hAnsi="仿宋_GB2312" w:eastAsia="仿宋_GB2312" w:cs="仿宋_GB2312"/>
                <w:bCs/>
                <w:szCs w:val="21"/>
              </w:rPr>
            </w:pPr>
          </w:p>
        </w:tc>
        <w:tc>
          <w:tcPr>
            <w:tcW w:w="1757" w:type="dxa"/>
            <w:vMerge w:val="continue"/>
            <w:tcBorders>
              <w:left w:val="single" w:color="auto" w:sz="4" w:space="0"/>
              <w:bottom w:val="single" w:color="auto" w:sz="4" w:space="0"/>
              <w:right w:val="single" w:color="auto" w:sz="4" w:space="0"/>
            </w:tcBorders>
            <w:vAlign w:val="center"/>
          </w:tcPr>
          <w:p w14:paraId="75FE4494">
            <w:pPr>
              <w:spacing w:line="340" w:lineRule="exact"/>
              <w:jc w:val="center"/>
              <w:rPr>
                <w:rFonts w:hint="eastAsia" w:ascii="仿宋_GB2312" w:hAnsi="仿宋_GB2312" w:eastAsia="仿宋_GB2312" w:cs="仿宋_GB2312"/>
                <w:szCs w:val="21"/>
              </w:rPr>
            </w:pPr>
          </w:p>
        </w:tc>
        <w:tc>
          <w:tcPr>
            <w:tcW w:w="5940" w:type="dxa"/>
            <w:tcBorders>
              <w:top w:val="single" w:color="auto" w:sz="4" w:space="0"/>
              <w:left w:val="single" w:color="auto" w:sz="4" w:space="0"/>
              <w:bottom w:val="single" w:color="auto" w:sz="4" w:space="0"/>
              <w:right w:val="single" w:color="auto" w:sz="4" w:space="0"/>
            </w:tcBorders>
            <w:vAlign w:val="top"/>
          </w:tcPr>
          <w:p w14:paraId="725D5D14">
            <w:pPr>
              <w:spacing w:line="340" w:lineRule="exact"/>
              <w:jc w:val="left"/>
              <w:rPr>
                <w:rFonts w:hint="eastAsia" w:ascii="仿宋_GB2312" w:hAnsi="仿宋_GB2312" w:eastAsia="仿宋_GB2312" w:cs="仿宋_GB2312"/>
                <w:bCs/>
                <w:color w:val="000000" w:themeColor="text1"/>
                <w:szCs w:val="21"/>
                <w:lang w:val="en-US" w:eastAsia="zh-CN"/>
                <w14:textFill>
                  <w14:solidFill>
                    <w14:schemeClr w14:val="tx1"/>
                  </w14:solidFill>
                </w14:textFill>
              </w:rPr>
            </w:pPr>
            <w:r>
              <w:rPr>
                <w:rFonts w:hint="eastAsia" w:ascii="仿宋_GB2312" w:hAnsi="仿宋_GB2312" w:eastAsia="仿宋_GB2312" w:cs="仿宋_GB2312"/>
                <w:bCs/>
                <w:color w:val="000000" w:themeColor="text1"/>
                <w:szCs w:val="21"/>
                <w:lang w:val="en-US" w:eastAsia="zh-CN"/>
                <w14:textFill>
                  <w14:solidFill>
                    <w14:schemeClr w14:val="tx1"/>
                  </w14:solidFill>
                </w14:textFill>
              </w:rPr>
              <w:t>1.4</w:t>
            </w:r>
            <w:r>
              <w:rPr>
                <w:rFonts w:hint="eastAsia" w:ascii="仿宋_GB2312" w:hAnsi="仿宋_GB2312" w:eastAsia="仿宋_GB2312" w:cs="仿宋_GB2312"/>
                <w:bCs/>
                <w:color w:val="000000" w:themeColor="text1"/>
                <w:szCs w:val="21"/>
                <w14:textFill>
                  <w14:solidFill>
                    <w14:schemeClr w14:val="tx1"/>
                  </w14:solidFill>
                </w14:textFill>
              </w:rPr>
              <w:t>以上维修每迟一天，</w:t>
            </w:r>
            <w:r>
              <w:rPr>
                <w:rFonts w:hint="eastAsia" w:ascii="仿宋_GB2312" w:hAnsi="仿宋_GB2312" w:eastAsia="仿宋_GB2312" w:cs="仿宋_GB2312"/>
                <w:bCs/>
                <w:color w:val="000000" w:themeColor="text1"/>
                <w:szCs w:val="21"/>
                <w:lang w:eastAsia="zh-CN"/>
                <w14:textFill>
                  <w14:solidFill>
                    <w14:schemeClr w14:val="tx1"/>
                  </w14:solidFill>
                </w14:textFill>
              </w:rPr>
              <w:t>中标人</w:t>
            </w:r>
            <w:r>
              <w:rPr>
                <w:rFonts w:hint="eastAsia" w:ascii="仿宋_GB2312" w:hAnsi="仿宋_GB2312" w:eastAsia="仿宋_GB2312" w:cs="仿宋_GB2312"/>
                <w:bCs/>
                <w:color w:val="000000" w:themeColor="text1"/>
                <w:szCs w:val="21"/>
                <w14:textFill>
                  <w14:solidFill>
                    <w14:schemeClr w14:val="tx1"/>
                  </w14:solidFill>
                </w14:textFill>
              </w:rPr>
              <w:t>向</w:t>
            </w:r>
            <w:r>
              <w:rPr>
                <w:rFonts w:hint="eastAsia" w:ascii="仿宋_GB2312" w:hAnsi="仿宋_GB2312" w:eastAsia="仿宋_GB2312" w:cs="仿宋_GB2312"/>
                <w:bCs/>
                <w:color w:val="000000" w:themeColor="text1"/>
                <w:szCs w:val="21"/>
                <w:lang w:eastAsia="zh-CN"/>
                <w14:textFill>
                  <w14:solidFill>
                    <w14:schemeClr w14:val="tx1"/>
                  </w14:solidFill>
                </w14:textFill>
              </w:rPr>
              <w:t>采购人</w:t>
            </w:r>
            <w:r>
              <w:rPr>
                <w:rFonts w:hint="eastAsia" w:ascii="仿宋_GB2312" w:hAnsi="仿宋_GB2312" w:eastAsia="仿宋_GB2312" w:cs="仿宋_GB2312"/>
                <w:bCs/>
                <w:color w:val="000000" w:themeColor="text1"/>
                <w:szCs w:val="21"/>
                <w14:textFill>
                  <w14:solidFill>
                    <w14:schemeClr w14:val="tx1"/>
                  </w14:solidFill>
                </w14:textFill>
              </w:rPr>
              <w:t>支付由于设备故障所造成的</w:t>
            </w:r>
            <w:r>
              <w:rPr>
                <w:rFonts w:hint="eastAsia" w:ascii="仿宋_GB2312" w:hAnsi="仿宋_GB2312" w:eastAsia="仿宋_GB2312" w:cs="仿宋_GB2312"/>
                <w:bCs/>
                <w:color w:val="000000" w:themeColor="text1"/>
                <w:szCs w:val="21"/>
                <w:lang w:eastAsia="zh-CN"/>
                <w14:textFill>
                  <w14:solidFill>
                    <w14:schemeClr w14:val="tx1"/>
                  </w14:solidFill>
                </w14:textFill>
              </w:rPr>
              <w:t>采购人</w:t>
            </w:r>
            <w:r>
              <w:rPr>
                <w:rFonts w:hint="eastAsia" w:ascii="仿宋_GB2312" w:hAnsi="仿宋_GB2312" w:eastAsia="仿宋_GB2312" w:cs="仿宋_GB2312"/>
                <w:bCs/>
                <w:color w:val="000000" w:themeColor="text1"/>
                <w:szCs w:val="21"/>
                <w14:textFill>
                  <w14:solidFill>
                    <w14:schemeClr w14:val="tx1"/>
                  </w14:solidFill>
                </w14:textFill>
              </w:rPr>
              <w:t>实际经济损失。保修期内的设备如不能现场进行维修需要运送的，更换维修地点的所有费用包括但不限于包装、运输费用等均由</w:t>
            </w:r>
            <w:r>
              <w:rPr>
                <w:rFonts w:hint="eastAsia" w:ascii="仿宋_GB2312" w:hAnsi="仿宋_GB2312" w:eastAsia="仿宋_GB2312" w:cs="仿宋_GB2312"/>
                <w:bCs/>
                <w:color w:val="000000" w:themeColor="text1"/>
                <w:szCs w:val="21"/>
                <w:lang w:eastAsia="zh-CN"/>
                <w14:textFill>
                  <w14:solidFill>
                    <w14:schemeClr w14:val="tx1"/>
                  </w14:solidFill>
                </w14:textFill>
              </w:rPr>
              <w:t>中标人</w:t>
            </w:r>
            <w:r>
              <w:rPr>
                <w:rFonts w:hint="eastAsia" w:ascii="仿宋_GB2312" w:hAnsi="仿宋_GB2312" w:eastAsia="仿宋_GB2312" w:cs="仿宋_GB2312"/>
                <w:bCs/>
                <w:color w:val="000000" w:themeColor="text1"/>
                <w:szCs w:val="21"/>
                <w14:textFill>
                  <w14:solidFill>
                    <w14:schemeClr w14:val="tx1"/>
                  </w14:solidFill>
                </w14:textFill>
              </w:rPr>
              <w:t>负责。</w:t>
            </w:r>
          </w:p>
        </w:tc>
      </w:tr>
      <w:tr w14:paraId="007D0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123" w:type="dxa"/>
            <w:tcBorders>
              <w:top w:val="single" w:color="auto" w:sz="4" w:space="0"/>
              <w:left w:val="single" w:color="auto" w:sz="4" w:space="0"/>
              <w:bottom w:val="single" w:color="auto" w:sz="4" w:space="0"/>
              <w:right w:val="single" w:color="auto" w:sz="4" w:space="0"/>
            </w:tcBorders>
            <w:vAlign w:val="center"/>
          </w:tcPr>
          <w:p w14:paraId="6AB45990">
            <w:pPr>
              <w:spacing w:line="340" w:lineRule="exact"/>
              <w:jc w:val="center"/>
              <w:rPr>
                <w:rFonts w:ascii="仿宋_GB2312" w:hAnsi="仿宋_GB2312" w:eastAsia="仿宋_GB2312" w:cs="仿宋_GB2312"/>
                <w:szCs w:val="21"/>
              </w:rPr>
            </w:pPr>
            <w:r>
              <w:rPr>
                <w:rFonts w:hint="eastAsia" w:ascii="仿宋_GB2312" w:hAnsi="仿宋_GB2312" w:eastAsia="仿宋_GB2312" w:cs="仿宋_GB2312"/>
                <w:szCs w:val="21"/>
              </w:rPr>
              <w:t>2</w:t>
            </w:r>
          </w:p>
        </w:tc>
        <w:tc>
          <w:tcPr>
            <w:tcW w:w="1757" w:type="dxa"/>
            <w:tcBorders>
              <w:top w:val="single" w:color="auto" w:sz="4" w:space="0"/>
              <w:left w:val="single" w:color="auto" w:sz="4" w:space="0"/>
              <w:bottom w:val="single" w:color="auto" w:sz="4" w:space="0"/>
              <w:right w:val="single" w:color="auto" w:sz="4" w:space="0"/>
            </w:tcBorders>
            <w:vAlign w:val="center"/>
          </w:tcPr>
          <w:p w14:paraId="3B475D73">
            <w:pPr>
              <w:spacing w:line="340" w:lineRule="exact"/>
              <w:jc w:val="center"/>
              <w:rPr>
                <w:rFonts w:ascii="仿宋_GB2312" w:hAnsi="仿宋_GB2312" w:eastAsia="仿宋_GB2312" w:cs="仿宋_GB2312"/>
                <w:szCs w:val="21"/>
              </w:rPr>
            </w:pPr>
            <w:r>
              <w:rPr>
                <w:rFonts w:hint="eastAsia" w:ascii="仿宋_GB2312" w:hAnsi="仿宋_GB2312" w:eastAsia="仿宋_GB2312" w:cs="仿宋_GB2312"/>
                <w:bCs/>
                <w:szCs w:val="21"/>
              </w:rPr>
              <w:t>★</w:t>
            </w:r>
            <w:r>
              <w:rPr>
                <w:rFonts w:hint="eastAsia" w:ascii="仿宋_GB2312" w:hAnsi="仿宋_GB2312" w:eastAsia="仿宋_GB2312" w:cs="仿宋_GB2312"/>
                <w:szCs w:val="21"/>
              </w:rPr>
              <w:t>关于免费保修期</w:t>
            </w:r>
          </w:p>
        </w:tc>
        <w:tc>
          <w:tcPr>
            <w:tcW w:w="5940" w:type="dxa"/>
            <w:tcBorders>
              <w:top w:val="single" w:color="auto" w:sz="4" w:space="0"/>
              <w:left w:val="single" w:color="auto" w:sz="4" w:space="0"/>
              <w:bottom w:val="single" w:color="auto" w:sz="4" w:space="0"/>
              <w:right w:val="single" w:color="auto" w:sz="4" w:space="0"/>
            </w:tcBorders>
          </w:tcPr>
          <w:p w14:paraId="3B8C2A30">
            <w:pPr>
              <w:spacing w:line="340" w:lineRule="exact"/>
              <w:jc w:val="left"/>
              <w:rPr>
                <w:rFonts w:hint="eastAsia" w:ascii="仿宋_GB2312" w:hAnsi="仿宋_GB2312" w:eastAsia="仿宋_GB2312" w:cs="仿宋_GB2312"/>
                <w:bCs/>
                <w:szCs w:val="21"/>
              </w:rPr>
            </w:pPr>
            <w:r>
              <w:rPr>
                <w:rFonts w:hint="eastAsia" w:ascii="仿宋_GB2312" w:hAnsi="仿宋_GB2312" w:eastAsia="仿宋_GB2312" w:cs="仿宋_GB2312"/>
                <w:bCs/>
                <w:szCs w:val="21"/>
                <w:lang w:val="en-US" w:eastAsia="zh-CN"/>
              </w:rPr>
              <w:t>2.1中标人</w:t>
            </w:r>
            <w:r>
              <w:rPr>
                <w:rFonts w:hint="eastAsia" w:ascii="仿宋_GB2312" w:hAnsi="仿宋_GB2312" w:eastAsia="仿宋_GB2312" w:cs="仿宋_GB2312"/>
                <w:bCs/>
                <w:szCs w:val="21"/>
              </w:rPr>
              <w:t>提供为期</w:t>
            </w:r>
            <w:r>
              <w:rPr>
                <w:rFonts w:hint="eastAsia" w:ascii="仿宋_GB2312" w:hAnsi="仿宋_GB2312" w:eastAsia="仿宋_GB2312" w:cs="仿宋_GB2312"/>
                <w:bCs/>
                <w:szCs w:val="21"/>
                <w:u w:val="single"/>
                <w:lang w:eastAsia="zh-CN"/>
              </w:rPr>
              <w:t>5</w:t>
            </w:r>
            <w:r>
              <w:rPr>
                <w:rFonts w:hint="eastAsia" w:ascii="仿宋_GB2312" w:hAnsi="仿宋_GB2312" w:eastAsia="仿宋_GB2312" w:cs="仿宋_GB2312"/>
                <w:bCs/>
                <w:szCs w:val="21"/>
              </w:rPr>
              <w:t>年</w:t>
            </w:r>
            <w:r>
              <w:rPr>
                <w:rFonts w:hint="eastAsia" w:ascii="仿宋_GB2312" w:hAnsi="仿宋_GB2312" w:eastAsia="仿宋_GB2312" w:cs="仿宋_GB2312"/>
                <w:bCs/>
                <w:szCs w:val="21"/>
                <w:lang w:val="en-US" w:eastAsia="zh-CN"/>
              </w:rPr>
              <w:t>或以上</w:t>
            </w:r>
            <w:r>
              <w:rPr>
                <w:rFonts w:hint="eastAsia" w:ascii="仿宋_GB2312" w:hAnsi="仿宋_GB2312" w:eastAsia="仿宋_GB2312" w:cs="仿宋_GB2312"/>
                <w:bCs/>
                <w:szCs w:val="21"/>
              </w:rPr>
              <w:t>的原厂免费保修服务，保修期自</w:t>
            </w:r>
            <w:r>
              <w:rPr>
                <w:rFonts w:hint="eastAsia" w:ascii="仿宋_GB2312" w:hAnsi="仿宋_GB2312" w:eastAsia="仿宋_GB2312" w:cs="仿宋_GB2312"/>
                <w:bCs/>
                <w:szCs w:val="21"/>
                <w:lang w:val="en-US" w:eastAsia="zh-CN"/>
              </w:rPr>
              <w:t>采购人</w:t>
            </w:r>
            <w:r>
              <w:rPr>
                <w:rFonts w:hint="eastAsia" w:ascii="仿宋_GB2312" w:hAnsi="仿宋_GB2312" w:eastAsia="仿宋_GB2312" w:cs="仿宋_GB2312"/>
                <w:bCs/>
                <w:szCs w:val="21"/>
              </w:rPr>
              <w:t>签署最终验收报告之日起开始计算。</w:t>
            </w:r>
          </w:p>
          <w:p w14:paraId="10C3C094">
            <w:pPr>
              <w:spacing w:line="340" w:lineRule="exact"/>
              <w:jc w:val="left"/>
              <w:rPr>
                <w:rFonts w:hint="eastAsia" w:ascii="仿宋_GB2312" w:hAnsi="仿宋_GB2312" w:eastAsia="仿宋_GB2312" w:cs="仿宋_GB2312"/>
                <w:bCs/>
                <w:szCs w:val="21"/>
              </w:rPr>
            </w:pPr>
            <w:r>
              <w:rPr>
                <w:rFonts w:hint="eastAsia" w:ascii="仿宋_GB2312" w:hAnsi="仿宋_GB2312" w:eastAsia="仿宋_GB2312" w:cs="仿宋_GB2312"/>
                <w:bCs/>
                <w:szCs w:val="21"/>
                <w:lang w:val="en-US" w:eastAsia="zh-CN"/>
              </w:rPr>
              <w:t>2.2</w:t>
            </w:r>
            <w:r>
              <w:rPr>
                <w:rFonts w:hint="eastAsia" w:ascii="仿宋_GB2312" w:hAnsi="仿宋_GB2312" w:eastAsia="仿宋_GB2312" w:cs="仿宋_GB2312"/>
                <w:bCs/>
                <w:szCs w:val="21"/>
              </w:rPr>
              <w:t>保修期内更换零配件、软件升级、人工等服务如原厂需收费由</w:t>
            </w:r>
            <w:r>
              <w:rPr>
                <w:rFonts w:hint="eastAsia" w:ascii="仿宋_GB2312" w:hAnsi="仿宋_GB2312" w:eastAsia="仿宋_GB2312" w:cs="仿宋_GB2312"/>
                <w:bCs/>
                <w:szCs w:val="21"/>
                <w:lang w:val="en-US" w:eastAsia="zh-CN"/>
              </w:rPr>
              <w:t>中标人</w:t>
            </w:r>
            <w:r>
              <w:rPr>
                <w:rFonts w:hint="eastAsia" w:ascii="仿宋_GB2312" w:hAnsi="仿宋_GB2312" w:eastAsia="仿宋_GB2312" w:cs="仿宋_GB2312"/>
                <w:bCs/>
                <w:szCs w:val="21"/>
              </w:rPr>
              <w:t>承担。</w:t>
            </w:r>
          </w:p>
          <w:p w14:paraId="5F573ED6">
            <w:pPr>
              <w:keepNext w:val="0"/>
              <w:keepLines w:val="0"/>
              <w:pageBreakBefore w:val="0"/>
              <w:widowControl/>
              <w:tabs>
                <w:tab w:val="left" w:pos="3697"/>
              </w:tabs>
              <w:kinsoku w:val="0"/>
              <w:wordWrap/>
              <w:overflowPunct/>
              <w:topLinePunct w:val="0"/>
              <w:autoSpaceDE w:val="0"/>
              <w:autoSpaceDN w:val="0"/>
              <w:bidi w:val="0"/>
              <w:adjustRightInd w:val="0"/>
              <w:snapToGrid w:val="0"/>
              <w:spacing w:line="340" w:lineRule="exact"/>
              <w:ind w:left="0" w:right="0" w:firstLineChars="0"/>
              <w:jc w:val="left"/>
              <w:textAlignment w:val="baseline"/>
              <w:rPr>
                <w:rFonts w:hint="eastAsia" w:ascii="仿宋_GB2312" w:hAnsi="仿宋_GB2312" w:eastAsia="仿宋_GB2312" w:cs="仿宋_GB2312"/>
                <w:bCs/>
                <w:spacing w:val="0"/>
                <w:sz w:val="21"/>
                <w:szCs w:val="21"/>
                <w:lang w:eastAsia="zh-CN"/>
              </w:rPr>
            </w:pPr>
            <w:r>
              <w:rPr>
                <w:rFonts w:hint="eastAsia" w:ascii="仿宋_GB2312" w:hAnsi="仿宋_GB2312" w:eastAsia="仿宋_GB2312" w:cs="仿宋_GB2312"/>
                <w:bCs/>
                <w:spacing w:val="0"/>
                <w:sz w:val="21"/>
                <w:szCs w:val="21"/>
                <w:lang w:val="en-US" w:eastAsia="zh-CN"/>
              </w:rPr>
              <w:t xml:space="preserve">2.3 </w:t>
            </w:r>
            <w:r>
              <w:rPr>
                <w:rFonts w:hint="eastAsia" w:ascii="仿宋_GB2312" w:hAnsi="仿宋_GB2312" w:eastAsia="仿宋_GB2312" w:cs="仿宋_GB2312"/>
                <w:bCs/>
                <w:spacing w:val="0"/>
                <w:sz w:val="21"/>
                <w:szCs w:val="21"/>
                <w:lang w:eastAsia="zh-CN"/>
              </w:rPr>
              <w:t>在保修期内，中标人应确保设备安全正常运行，年开机率保证在95%（</w:t>
            </w:r>
            <w:r>
              <w:rPr>
                <w:rFonts w:hint="eastAsia" w:ascii="仿宋_GB2312" w:hAnsi="仿宋_GB2312" w:eastAsia="仿宋_GB2312" w:cs="仿宋_GB2312"/>
                <w:bCs/>
                <w:spacing w:val="0"/>
                <w:sz w:val="21"/>
                <w:szCs w:val="21"/>
                <w:lang w:val="en-US" w:eastAsia="zh-CN"/>
              </w:rPr>
              <w:t>含</w:t>
            </w:r>
            <w:r>
              <w:rPr>
                <w:rFonts w:hint="eastAsia" w:ascii="仿宋_GB2312" w:hAnsi="仿宋_GB2312" w:eastAsia="仿宋_GB2312" w:cs="仿宋_GB2312"/>
                <w:bCs/>
                <w:spacing w:val="0"/>
                <w:sz w:val="21"/>
                <w:szCs w:val="21"/>
                <w:lang w:eastAsia="zh-CN"/>
              </w:rPr>
              <w:t>）以上。</w:t>
            </w:r>
            <w:r>
              <w:rPr>
                <w:rFonts w:hint="default" w:ascii="仿宋_GB2312" w:hAnsi="仿宋_GB2312" w:eastAsia="仿宋_GB2312" w:cs="仿宋_GB2312"/>
                <w:bCs/>
                <w:spacing w:val="0"/>
                <w:sz w:val="21"/>
                <w:szCs w:val="21"/>
                <w:lang w:val="en-US" w:eastAsia="zh-CN"/>
              </w:rPr>
              <w:t>若不能达到此开机率</w:t>
            </w:r>
            <w:r>
              <w:rPr>
                <w:rFonts w:hint="eastAsia" w:ascii="仿宋_GB2312" w:hAnsi="仿宋_GB2312" w:eastAsia="仿宋_GB2312" w:cs="仿宋_GB2312"/>
                <w:bCs/>
                <w:spacing w:val="0"/>
                <w:sz w:val="21"/>
                <w:szCs w:val="21"/>
                <w:lang w:eastAsia="zh-CN"/>
              </w:rPr>
              <w:t>，将做以下处理：</w:t>
            </w:r>
          </w:p>
          <w:p w14:paraId="28F66F64">
            <w:pPr>
              <w:keepNext w:val="0"/>
              <w:keepLines w:val="0"/>
              <w:pageBreakBefore w:val="0"/>
              <w:widowControl/>
              <w:tabs>
                <w:tab w:val="left" w:pos="3697"/>
              </w:tabs>
              <w:kinsoku w:val="0"/>
              <w:wordWrap/>
              <w:overflowPunct/>
              <w:topLinePunct w:val="0"/>
              <w:autoSpaceDE w:val="0"/>
              <w:autoSpaceDN w:val="0"/>
              <w:bidi w:val="0"/>
              <w:adjustRightInd w:val="0"/>
              <w:snapToGrid w:val="0"/>
              <w:spacing w:line="340" w:lineRule="exact"/>
              <w:ind w:left="0" w:right="0" w:firstLineChars="200"/>
              <w:jc w:val="left"/>
              <w:textAlignment w:val="baseline"/>
              <w:rPr>
                <w:rFonts w:hint="eastAsia" w:ascii="仿宋_GB2312" w:hAnsi="仿宋_GB2312" w:eastAsia="仿宋_GB2312" w:cs="仿宋_GB2312"/>
                <w:bCs/>
                <w:spacing w:val="0"/>
                <w:sz w:val="21"/>
                <w:szCs w:val="21"/>
                <w:lang w:eastAsia="zh-CN"/>
              </w:rPr>
            </w:pPr>
            <w:r>
              <w:rPr>
                <w:rFonts w:hint="eastAsia" w:ascii="仿宋_GB2312" w:hAnsi="仿宋_GB2312" w:eastAsia="仿宋_GB2312" w:cs="仿宋_GB2312"/>
                <w:bCs/>
                <w:spacing w:val="0"/>
                <w:sz w:val="21"/>
                <w:szCs w:val="21"/>
                <w:lang w:eastAsia="zh-CN"/>
              </w:rPr>
              <w:t>a.年开机率在90%（</w:t>
            </w:r>
            <w:r>
              <w:rPr>
                <w:rFonts w:hint="eastAsia" w:ascii="仿宋_GB2312" w:hAnsi="仿宋_GB2312" w:eastAsia="仿宋_GB2312" w:cs="仿宋_GB2312"/>
                <w:bCs/>
                <w:spacing w:val="0"/>
                <w:sz w:val="21"/>
                <w:szCs w:val="21"/>
                <w:lang w:val="en-US" w:eastAsia="zh-CN"/>
              </w:rPr>
              <w:t>含</w:t>
            </w:r>
            <w:r>
              <w:rPr>
                <w:rFonts w:hint="eastAsia" w:ascii="仿宋_GB2312" w:hAnsi="仿宋_GB2312" w:eastAsia="仿宋_GB2312" w:cs="仿宋_GB2312"/>
                <w:bCs/>
                <w:spacing w:val="0"/>
                <w:sz w:val="21"/>
                <w:szCs w:val="21"/>
                <w:lang w:eastAsia="zh-CN"/>
              </w:rPr>
              <w:t>）～95%（</w:t>
            </w:r>
            <w:r>
              <w:rPr>
                <w:rFonts w:hint="eastAsia" w:ascii="仿宋_GB2312" w:hAnsi="仿宋_GB2312" w:eastAsia="仿宋_GB2312" w:cs="仿宋_GB2312"/>
                <w:bCs/>
                <w:spacing w:val="0"/>
                <w:sz w:val="21"/>
                <w:szCs w:val="21"/>
                <w:lang w:val="en-US" w:eastAsia="zh-CN"/>
              </w:rPr>
              <w:t>不含</w:t>
            </w:r>
            <w:r>
              <w:rPr>
                <w:rFonts w:hint="eastAsia" w:ascii="仿宋_GB2312" w:hAnsi="仿宋_GB2312" w:eastAsia="仿宋_GB2312" w:cs="仿宋_GB2312"/>
                <w:bCs/>
                <w:spacing w:val="0"/>
                <w:sz w:val="21"/>
                <w:szCs w:val="21"/>
                <w:lang w:eastAsia="zh-CN"/>
              </w:rPr>
              <w:t>）之间按一赔二延长保修期；</w:t>
            </w:r>
          </w:p>
          <w:p w14:paraId="6BC59CE3">
            <w:pPr>
              <w:keepNext w:val="0"/>
              <w:keepLines w:val="0"/>
              <w:pageBreakBefore w:val="0"/>
              <w:widowControl/>
              <w:tabs>
                <w:tab w:val="left" w:pos="3697"/>
              </w:tabs>
              <w:kinsoku w:val="0"/>
              <w:wordWrap/>
              <w:overflowPunct/>
              <w:topLinePunct w:val="0"/>
              <w:autoSpaceDE w:val="0"/>
              <w:autoSpaceDN w:val="0"/>
              <w:bidi w:val="0"/>
              <w:adjustRightInd w:val="0"/>
              <w:snapToGrid w:val="0"/>
              <w:spacing w:line="340" w:lineRule="exact"/>
              <w:ind w:left="0" w:right="0" w:firstLineChars="200"/>
              <w:jc w:val="left"/>
              <w:textAlignment w:val="baseline"/>
              <w:rPr>
                <w:rFonts w:hint="eastAsia" w:ascii="仿宋_GB2312" w:hAnsi="仿宋_GB2312" w:eastAsia="仿宋_GB2312" w:cs="仿宋_GB2312"/>
                <w:bCs/>
                <w:spacing w:val="0"/>
                <w:sz w:val="21"/>
                <w:szCs w:val="21"/>
                <w:lang w:eastAsia="zh-CN"/>
              </w:rPr>
            </w:pPr>
            <w:r>
              <w:rPr>
                <w:rFonts w:hint="eastAsia" w:ascii="仿宋_GB2312" w:hAnsi="仿宋_GB2312" w:eastAsia="仿宋_GB2312" w:cs="仿宋_GB2312"/>
                <w:bCs/>
                <w:spacing w:val="0"/>
                <w:sz w:val="21"/>
                <w:szCs w:val="21"/>
                <w:lang w:eastAsia="zh-CN"/>
              </w:rPr>
              <w:t>b.年开机率在85%（</w:t>
            </w:r>
            <w:r>
              <w:rPr>
                <w:rFonts w:hint="eastAsia" w:ascii="仿宋_GB2312" w:hAnsi="仿宋_GB2312" w:eastAsia="仿宋_GB2312" w:cs="仿宋_GB2312"/>
                <w:bCs/>
                <w:spacing w:val="0"/>
                <w:sz w:val="21"/>
                <w:szCs w:val="21"/>
                <w:lang w:val="en-US" w:eastAsia="zh-CN"/>
              </w:rPr>
              <w:t>含</w:t>
            </w:r>
            <w:r>
              <w:rPr>
                <w:rFonts w:hint="eastAsia" w:ascii="仿宋_GB2312" w:hAnsi="仿宋_GB2312" w:eastAsia="仿宋_GB2312" w:cs="仿宋_GB2312"/>
                <w:bCs/>
                <w:spacing w:val="0"/>
                <w:sz w:val="21"/>
                <w:szCs w:val="21"/>
                <w:lang w:eastAsia="zh-CN"/>
              </w:rPr>
              <w:t>）～90%（</w:t>
            </w:r>
            <w:r>
              <w:rPr>
                <w:rFonts w:hint="eastAsia" w:ascii="仿宋_GB2312" w:hAnsi="仿宋_GB2312" w:eastAsia="仿宋_GB2312" w:cs="仿宋_GB2312"/>
                <w:bCs/>
                <w:spacing w:val="0"/>
                <w:sz w:val="21"/>
                <w:szCs w:val="21"/>
                <w:lang w:val="en-US" w:eastAsia="zh-CN"/>
              </w:rPr>
              <w:t>不含</w:t>
            </w:r>
            <w:r>
              <w:rPr>
                <w:rFonts w:hint="eastAsia" w:ascii="仿宋_GB2312" w:hAnsi="仿宋_GB2312" w:eastAsia="仿宋_GB2312" w:cs="仿宋_GB2312"/>
                <w:bCs/>
                <w:spacing w:val="0"/>
                <w:sz w:val="21"/>
                <w:szCs w:val="21"/>
                <w:lang w:eastAsia="zh-CN"/>
              </w:rPr>
              <w:t>）之间按一赔五延长保修期；</w:t>
            </w:r>
          </w:p>
          <w:p w14:paraId="240224BC">
            <w:pPr>
              <w:keepNext w:val="0"/>
              <w:keepLines w:val="0"/>
              <w:pageBreakBefore w:val="0"/>
              <w:widowControl/>
              <w:tabs>
                <w:tab w:val="left" w:pos="3697"/>
              </w:tabs>
              <w:kinsoku w:val="0"/>
              <w:wordWrap/>
              <w:overflowPunct/>
              <w:topLinePunct w:val="0"/>
              <w:autoSpaceDE w:val="0"/>
              <w:autoSpaceDN w:val="0"/>
              <w:bidi w:val="0"/>
              <w:adjustRightInd w:val="0"/>
              <w:snapToGrid w:val="0"/>
              <w:spacing w:line="340" w:lineRule="exact"/>
              <w:ind w:left="0" w:right="0" w:firstLineChars="200"/>
              <w:jc w:val="left"/>
              <w:textAlignment w:val="baseline"/>
              <w:rPr>
                <w:rFonts w:hint="eastAsia" w:ascii="仿宋_GB2312" w:hAnsi="仿宋_GB2312" w:eastAsia="仿宋_GB2312" w:cs="仿宋_GB2312"/>
                <w:bCs/>
                <w:spacing w:val="0"/>
                <w:sz w:val="21"/>
                <w:szCs w:val="21"/>
                <w:lang w:eastAsia="zh-CN"/>
              </w:rPr>
            </w:pPr>
            <w:r>
              <w:rPr>
                <w:rFonts w:hint="eastAsia" w:ascii="仿宋_GB2312" w:hAnsi="仿宋_GB2312" w:eastAsia="仿宋_GB2312" w:cs="仿宋_GB2312"/>
                <w:bCs/>
                <w:spacing w:val="0"/>
                <w:sz w:val="21"/>
                <w:szCs w:val="21"/>
                <w:lang w:eastAsia="zh-CN"/>
              </w:rPr>
              <w:t>c.年开机率低于85%（</w:t>
            </w:r>
            <w:r>
              <w:rPr>
                <w:rFonts w:hint="eastAsia" w:ascii="仿宋_GB2312" w:hAnsi="仿宋_GB2312" w:eastAsia="仿宋_GB2312" w:cs="仿宋_GB2312"/>
                <w:bCs/>
                <w:spacing w:val="0"/>
                <w:sz w:val="21"/>
                <w:szCs w:val="21"/>
                <w:lang w:val="en-US" w:eastAsia="zh-CN"/>
              </w:rPr>
              <w:t>不含</w:t>
            </w:r>
            <w:r>
              <w:rPr>
                <w:rFonts w:hint="eastAsia" w:ascii="仿宋_GB2312" w:hAnsi="仿宋_GB2312" w:eastAsia="仿宋_GB2312" w:cs="仿宋_GB2312"/>
                <w:bCs/>
                <w:spacing w:val="0"/>
                <w:sz w:val="21"/>
                <w:szCs w:val="21"/>
                <w:lang w:eastAsia="zh-CN"/>
              </w:rPr>
              <w:t>），中标人必须无条件更换新机，并重新计算保修期，以及赔偿</w:t>
            </w:r>
            <w:r>
              <w:rPr>
                <w:rFonts w:hint="eastAsia" w:ascii="仿宋_GB2312" w:hAnsi="仿宋_GB2312" w:eastAsia="仿宋_GB2312" w:cs="仿宋_GB2312"/>
                <w:bCs/>
                <w:spacing w:val="0"/>
                <w:sz w:val="21"/>
                <w:szCs w:val="21"/>
                <w:lang w:val="en-US" w:eastAsia="zh-CN"/>
              </w:rPr>
              <w:t>采购人</w:t>
            </w:r>
            <w:r>
              <w:rPr>
                <w:rFonts w:hint="eastAsia" w:ascii="仿宋_GB2312" w:hAnsi="仿宋_GB2312" w:eastAsia="仿宋_GB2312" w:cs="仿宋_GB2312"/>
                <w:bCs/>
                <w:spacing w:val="0"/>
                <w:sz w:val="21"/>
                <w:szCs w:val="21"/>
                <w:lang w:eastAsia="zh-CN"/>
              </w:rPr>
              <w:t>的直接经济损失和间接经济损失，</w:t>
            </w:r>
            <w:r>
              <w:rPr>
                <w:rFonts w:hint="eastAsia" w:ascii="仿宋_GB2312" w:hAnsi="仿宋_GB2312" w:eastAsia="仿宋_GB2312" w:cs="仿宋_GB2312"/>
                <w:bCs/>
                <w:spacing w:val="0"/>
                <w:sz w:val="21"/>
                <w:szCs w:val="21"/>
                <w:lang w:val="en-US" w:eastAsia="zh-CN"/>
              </w:rPr>
              <w:t>同时，采购人还有权选择退货</w:t>
            </w:r>
            <w:r>
              <w:rPr>
                <w:rFonts w:hint="eastAsia" w:ascii="仿宋_GB2312" w:hAnsi="仿宋_GB2312" w:eastAsia="仿宋_GB2312" w:cs="仿宋_GB2312"/>
                <w:bCs/>
                <w:spacing w:val="0"/>
                <w:sz w:val="21"/>
                <w:szCs w:val="21"/>
                <w:lang w:eastAsia="zh-CN"/>
              </w:rPr>
              <w:t>处理。</w:t>
            </w:r>
          </w:p>
          <w:p w14:paraId="5FA48AF6">
            <w:pPr>
              <w:spacing w:line="340" w:lineRule="exact"/>
              <w:jc w:val="left"/>
              <w:rPr>
                <w:rFonts w:ascii="仿宋_GB2312" w:hAnsi="仿宋_GB2312" w:eastAsia="仿宋_GB2312" w:cs="仿宋_GB2312"/>
                <w:b/>
                <w:szCs w:val="21"/>
              </w:rPr>
            </w:pPr>
            <w:r>
              <w:rPr>
                <w:rFonts w:hint="eastAsia" w:ascii="仿宋_GB2312" w:hAnsi="仿宋_GB2312" w:eastAsia="仿宋_GB2312" w:cs="仿宋_GB2312"/>
                <w:bCs/>
                <w:spacing w:val="0"/>
                <w:sz w:val="21"/>
                <w:szCs w:val="21"/>
                <w:lang w:eastAsia="zh-CN"/>
              </w:rPr>
              <w:t>注：年开机率 =（365-停机天数）/365。</w:t>
            </w:r>
          </w:p>
        </w:tc>
      </w:tr>
      <w:tr w14:paraId="76C21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123" w:type="dxa"/>
            <w:tcBorders>
              <w:top w:val="single" w:color="auto" w:sz="4" w:space="0"/>
              <w:left w:val="single" w:color="auto" w:sz="4" w:space="0"/>
              <w:bottom w:val="single" w:color="auto" w:sz="4" w:space="0"/>
              <w:right w:val="single" w:color="auto" w:sz="4" w:space="0"/>
            </w:tcBorders>
            <w:vAlign w:val="center"/>
          </w:tcPr>
          <w:p w14:paraId="5C61FC45">
            <w:pPr>
              <w:spacing w:line="340" w:lineRule="exact"/>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3</w:t>
            </w:r>
          </w:p>
        </w:tc>
        <w:tc>
          <w:tcPr>
            <w:tcW w:w="1757" w:type="dxa"/>
            <w:tcBorders>
              <w:top w:val="single" w:color="auto" w:sz="4" w:space="0"/>
              <w:left w:val="single" w:color="auto" w:sz="4" w:space="0"/>
              <w:bottom w:val="single" w:color="auto" w:sz="4" w:space="0"/>
              <w:right w:val="single" w:color="auto" w:sz="4" w:space="0"/>
            </w:tcBorders>
            <w:vAlign w:val="center"/>
          </w:tcPr>
          <w:p w14:paraId="389871F0">
            <w:pPr>
              <w:spacing w:line="34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备品</w:t>
            </w:r>
            <w:r>
              <w:rPr>
                <w:rFonts w:hint="eastAsia" w:ascii="仿宋_GB2312" w:hAnsi="仿宋_GB2312" w:eastAsia="仿宋_GB2312" w:cs="仿宋_GB2312"/>
                <w:szCs w:val="21"/>
              </w:rPr>
              <w:t>备件要求</w:t>
            </w:r>
          </w:p>
        </w:tc>
        <w:tc>
          <w:tcPr>
            <w:tcW w:w="5940" w:type="dxa"/>
            <w:tcBorders>
              <w:top w:val="single" w:color="auto" w:sz="4" w:space="0"/>
              <w:left w:val="single" w:color="auto" w:sz="4" w:space="0"/>
              <w:bottom w:val="single" w:color="auto" w:sz="4" w:space="0"/>
              <w:right w:val="single" w:color="auto" w:sz="4" w:space="0"/>
            </w:tcBorders>
          </w:tcPr>
          <w:p w14:paraId="751ACAEA">
            <w:pPr>
              <w:tabs>
                <w:tab w:val="left" w:pos="3697"/>
              </w:tabs>
              <w:spacing w:line="340" w:lineRule="exact"/>
              <w:jc w:val="left"/>
              <w:rPr>
                <w:rFonts w:hint="eastAsia" w:ascii="仿宋_GB2312" w:hAnsi="仿宋_GB2312" w:eastAsia="仿宋_GB2312" w:cs="仿宋_GB2312"/>
                <w:bCs/>
                <w:szCs w:val="21"/>
                <w:lang w:eastAsia="zh-CN"/>
              </w:rPr>
            </w:pPr>
            <w:r>
              <w:rPr>
                <w:rFonts w:hint="eastAsia" w:ascii="仿宋_GB2312" w:hAnsi="仿宋_GB2312" w:eastAsia="仿宋_GB2312" w:cs="仿宋_GB2312"/>
                <w:bCs/>
                <w:szCs w:val="21"/>
                <w:lang w:val="en-US" w:eastAsia="zh-CN"/>
              </w:rPr>
              <w:t>提供专机专用配套试剂及耗材（如有）、主要零配件报价清单。</w:t>
            </w:r>
            <w:r>
              <w:rPr>
                <w:rFonts w:hint="eastAsia" w:ascii="仿宋_GB2312" w:hAnsi="仿宋_GB2312" w:eastAsia="仿宋_GB2312" w:cs="仿宋_GB2312"/>
                <w:bCs/>
                <w:szCs w:val="21"/>
                <w:lang w:eastAsia="zh-CN"/>
              </w:rPr>
              <w:t>中标人</w:t>
            </w:r>
            <w:r>
              <w:rPr>
                <w:rFonts w:hint="eastAsia" w:ascii="仿宋_GB2312" w:hAnsi="仿宋_GB2312" w:eastAsia="仿宋_GB2312" w:cs="仿宋_GB2312"/>
                <w:bCs/>
                <w:szCs w:val="21"/>
              </w:rPr>
              <w:t xml:space="preserve">负责设备的终身维修并应继续提供优质的服务，储备足够的零配件备库并保证十年以上维修配件、耗材的正常供应。  </w:t>
            </w:r>
          </w:p>
        </w:tc>
      </w:tr>
      <w:tr w14:paraId="55ED2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123" w:type="dxa"/>
            <w:tcBorders>
              <w:top w:val="single" w:color="auto" w:sz="4" w:space="0"/>
              <w:left w:val="single" w:color="auto" w:sz="4" w:space="0"/>
              <w:bottom w:val="single" w:color="auto" w:sz="4" w:space="0"/>
              <w:right w:val="single" w:color="auto" w:sz="4" w:space="0"/>
            </w:tcBorders>
            <w:vAlign w:val="center"/>
          </w:tcPr>
          <w:p w14:paraId="5E5531E5">
            <w:pPr>
              <w:spacing w:line="340" w:lineRule="exact"/>
              <w:jc w:val="center"/>
              <w:rPr>
                <w:rFonts w:hint="eastAsia" w:ascii="仿宋_GB2312" w:hAnsi="仿宋_GB2312" w:eastAsia="仿宋_GB2312" w:cs="仿宋_GB2312"/>
                <w:b w:val="0"/>
                <w:bCs/>
                <w:szCs w:val="21"/>
                <w:lang w:val="en-US" w:eastAsia="zh-CN"/>
              </w:rPr>
            </w:pPr>
            <w:r>
              <w:rPr>
                <w:rFonts w:hint="eastAsia" w:ascii="仿宋_GB2312" w:hAnsi="仿宋_GB2312" w:eastAsia="仿宋_GB2312" w:cs="仿宋_GB2312"/>
                <w:b w:val="0"/>
                <w:bCs/>
                <w:szCs w:val="21"/>
                <w:lang w:val="en-US" w:eastAsia="zh-CN"/>
              </w:rPr>
              <w:t>4</w:t>
            </w:r>
          </w:p>
        </w:tc>
        <w:tc>
          <w:tcPr>
            <w:tcW w:w="1757" w:type="dxa"/>
            <w:tcBorders>
              <w:top w:val="single" w:color="auto" w:sz="4" w:space="0"/>
              <w:left w:val="single" w:color="auto" w:sz="4" w:space="0"/>
              <w:bottom w:val="single" w:color="auto" w:sz="4" w:space="0"/>
              <w:right w:val="single" w:color="auto" w:sz="4" w:space="0"/>
            </w:tcBorders>
            <w:shd w:val="clear" w:color="auto" w:fill="auto"/>
            <w:vAlign w:val="center"/>
          </w:tcPr>
          <w:p w14:paraId="3106D26E">
            <w:pPr>
              <w:spacing w:line="340" w:lineRule="exact"/>
              <w:jc w:val="center"/>
              <w:rPr>
                <w:rFonts w:hint="default" w:ascii="仿宋_GB2312" w:hAnsi="仿宋_GB2312" w:eastAsia="仿宋_GB2312" w:cs="仿宋_GB2312"/>
                <w:b/>
                <w:bCs/>
                <w:color w:val="FF0000"/>
                <w:szCs w:val="21"/>
                <w:lang w:val="en-US" w:eastAsia="zh-CN"/>
              </w:rPr>
            </w:pPr>
            <w:r>
              <w:rPr>
                <w:rFonts w:hint="eastAsia" w:ascii="仿宋_GB2312" w:hAnsi="仿宋_GB2312" w:eastAsia="仿宋_GB2312" w:cs="仿宋_GB2312"/>
                <w:b w:val="0"/>
                <w:bCs w:val="0"/>
                <w:color w:val="auto"/>
                <w:szCs w:val="21"/>
                <w:lang w:val="en-US" w:eastAsia="zh-CN"/>
              </w:rPr>
              <w:t>软件升级</w:t>
            </w:r>
            <w:r>
              <w:rPr>
                <w:rFonts w:hint="eastAsia" w:ascii="仿宋_GB2312" w:hAnsi="仿宋_GB2312" w:eastAsia="仿宋_GB2312" w:cs="仿宋_GB2312"/>
                <w:bCs/>
                <w:szCs w:val="21"/>
                <w:lang w:val="en-US" w:eastAsia="zh-CN"/>
              </w:rPr>
              <w:t>（如有）</w:t>
            </w:r>
          </w:p>
        </w:tc>
        <w:tc>
          <w:tcPr>
            <w:tcW w:w="5940" w:type="dxa"/>
            <w:tcBorders>
              <w:top w:val="single" w:color="auto" w:sz="4" w:space="0"/>
              <w:left w:val="single" w:color="auto" w:sz="4" w:space="0"/>
              <w:bottom w:val="single" w:color="auto" w:sz="4" w:space="0"/>
              <w:right w:val="single" w:color="auto" w:sz="4" w:space="0"/>
            </w:tcBorders>
            <w:shd w:val="clear" w:color="auto" w:fill="auto"/>
            <w:vAlign w:val="center"/>
          </w:tcPr>
          <w:p w14:paraId="1C3FB08E">
            <w:pPr>
              <w:spacing w:line="340" w:lineRule="exact"/>
              <w:jc w:val="left"/>
              <w:rPr>
                <w:rFonts w:hint="eastAsia" w:ascii="仿宋_GB2312" w:hAnsi="仿宋_GB2312" w:eastAsia="仿宋_GB2312" w:cs="仿宋_GB2312"/>
                <w:bCs/>
                <w:szCs w:val="21"/>
              </w:rPr>
            </w:pPr>
            <w:r>
              <w:rPr>
                <w:rFonts w:hint="eastAsia" w:ascii="仿宋_GB2312" w:hAnsi="仿宋_GB2312" w:eastAsia="仿宋_GB2312" w:cs="仿宋_GB2312"/>
                <w:bCs/>
                <w:szCs w:val="21"/>
                <w:lang w:val="en-US" w:eastAsia="zh-CN"/>
              </w:rPr>
              <w:t>十</w:t>
            </w:r>
            <w:r>
              <w:rPr>
                <w:rFonts w:hint="eastAsia" w:ascii="仿宋_GB2312" w:hAnsi="仿宋_GB2312" w:eastAsia="仿宋_GB2312" w:cs="仿宋_GB2312"/>
                <w:bCs/>
                <w:spacing w:val="0"/>
                <w:sz w:val="21"/>
                <w:szCs w:val="21"/>
                <w:lang w:eastAsia="zh-CN"/>
              </w:rPr>
              <w:t>年内免费提供软件升级服务。</w:t>
            </w:r>
          </w:p>
        </w:tc>
      </w:tr>
      <w:tr w14:paraId="5C91D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1123" w:type="dxa"/>
            <w:tcBorders>
              <w:top w:val="single" w:color="auto" w:sz="4" w:space="0"/>
              <w:left w:val="single" w:color="auto" w:sz="4" w:space="0"/>
              <w:bottom w:val="single" w:color="auto" w:sz="4" w:space="0"/>
              <w:right w:val="single" w:color="auto" w:sz="4" w:space="0"/>
            </w:tcBorders>
            <w:vAlign w:val="center"/>
          </w:tcPr>
          <w:p w14:paraId="325705C3">
            <w:pPr>
              <w:spacing w:line="340" w:lineRule="exact"/>
              <w:jc w:val="center"/>
              <w:rPr>
                <w:rFonts w:hint="eastAsia" w:ascii="仿宋_GB2312" w:hAnsi="仿宋_GB2312" w:eastAsia="仿宋_GB2312" w:cs="仿宋_GB2312"/>
                <w:b w:val="0"/>
                <w:bCs/>
                <w:szCs w:val="21"/>
                <w:lang w:val="en-US" w:eastAsia="zh-CN"/>
              </w:rPr>
            </w:pPr>
            <w:r>
              <w:rPr>
                <w:rFonts w:hint="eastAsia" w:ascii="仿宋_GB2312" w:hAnsi="仿宋_GB2312" w:eastAsia="仿宋_GB2312" w:cs="仿宋_GB2312"/>
                <w:b w:val="0"/>
                <w:bCs/>
                <w:szCs w:val="21"/>
                <w:lang w:val="en-US" w:eastAsia="zh-CN"/>
              </w:rPr>
              <w:t>5</w:t>
            </w:r>
          </w:p>
        </w:tc>
        <w:tc>
          <w:tcPr>
            <w:tcW w:w="1757" w:type="dxa"/>
            <w:tcBorders>
              <w:top w:val="single" w:color="auto" w:sz="4" w:space="0"/>
              <w:left w:val="single" w:color="auto" w:sz="4" w:space="0"/>
              <w:bottom w:val="single" w:color="auto" w:sz="4" w:space="0"/>
              <w:right w:val="single" w:color="auto" w:sz="4" w:space="0"/>
            </w:tcBorders>
            <w:shd w:val="clear" w:color="auto" w:fill="auto"/>
            <w:vAlign w:val="center"/>
          </w:tcPr>
          <w:p w14:paraId="7153D3ED">
            <w:pPr>
              <w:spacing w:line="340" w:lineRule="exact"/>
              <w:jc w:val="center"/>
              <w:rPr>
                <w:rFonts w:hint="default" w:ascii="仿宋_GB2312" w:hAnsi="仿宋_GB2312" w:eastAsia="仿宋_GB2312" w:cs="仿宋_GB2312"/>
                <w:b w:val="0"/>
                <w:bCs w:val="0"/>
                <w:szCs w:val="21"/>
                <w:lang w:val="en-US" w:eastAsia="zh-CN"/>
              </w:rPr>
            </w:pPr>
            <w:r>
              <w:rPr>
                <w:rFonts w:hint="eastAsia" w:ascii="仿宋_GB2312" w:hAnsi="仿宋_GB2312" w:eastAsia="仿宋_GB2312" w:cs="仿宋_GB2312"/>
                <w:b w:val="0"/>
                <w:bCs w:val="0"/>
                <w:szCs w:val="21"/>
                <w:lang w:val="en-US" w:eastAsia="zh-CN"/>
              </w:rPr>
              <w:t>信息化系统</w:t>
            </w:r>
            <w:r>
              <w:rPr>
                <w:rFonts w:hint="eastAsia" w:ascii="仿宋_GB2312" w:hAnsi="仿宋_GB2312" w:eastAsia="仿宋_GB2312" w:cs="仿宋_GB2312"/>
                <w:bCs/>
                <w:szCs w:val="21"/>
                <w:lang w:val="en-US" w:eastAsia="zh-CN"/>
              </w:rPr>
              <w:t>（如有）</w:t>
            </w:r>
          </w:p>
        </w:tc>
        <w:tc>
          <w:tcPr>
            <w:tcW w:w="5940" w:type="dxa"/>
            <w:tcBorders>
              <w:top w:val="single" w:color="auto" w:sz="4" w:space="0"/>
              <w:left w:val="single" w:color="auto" w:sz="4" w:space="0"/>
              <w:bottom w:val="single" w:color="auto" w:sz="4" w:space="0"/>
              <w:right w:val="single" w:color="auto" w:sz="4" w:space="0"/>
            </w:tcBorders>
            <w:shd w:val="clear" w:color="auto" w:fill="auto"/>
            <w:vAlign w:val="center"/>
          </w:tcPr>
          <w:p w14:paraId="20BC6415">
            <w:pPr>
              <w:widowControl/>
              <w:tabs>
                <w:tab w:val="left" w:pos="3697"/>
              </w:tabs>
              <w:kinsoku w:val="0"/>
              <w:autoSpaceDE w:val="0"/>
              <w:autoSpaceDN w:val="0"/>
              <w:adjustRightInd w:val="0"/>
              <w:snapToGrid w:val="0"/>
              <w:spacing w:line="340" w:lineRule="exact"/>
              <w:jc w:val="left"/>
              <w:textAlignment w:val="baseline"/>
              <w:rPr>
                <w:rFonts w:hint="eastAsia" w:ascii="仿宋_GB2312" w:hAnsi="仿宋_GB2312" w:eastAsia="仿宋_GB2312" w:cs="仿宋_GB2312"/>
                <w:bCs/>
                <w:szCs w:val="21"/>
                <w:lang w:val="en-US" w:eastAsia="zh-CN"/>
              </w:rPr>
            </w:pPr>
            <w:r>
              <w:rPr>
                <w:rFonts w:hint="eastAsia" w:ascii="仿宋_GB2312" w:hAnsi="仿宋_GB2312" w:eastAsia="仿宋_GB2312" w:cs="仿宋_GB2312"/>
                <w:bCs/>
                <w:spacing w:val="0"/>
                <w:sz w:val="21"/>
                <w:szCs w:val="21"/>
                <w:lang w:eastAsia="zh-CN"/>
              </w:rPr>
              <w:t>信息化系统要求按招投标文件中条款执行。涉及软件应用的设备，中标人和厂家应配合</w:t>
            </w:r>
            <w:r>
              <w:rPr>
                <w:rFonts w:hint="eastAsia" w:ascii="仿宋_GB2312" w:hAnsi="仿宋_GB2312" w:eastAsia="仿宋_GB2312" w:cs="仿宋_GB2312"/>
                <w:bCs/>
                <w:spacing w:val="0"/>
                <w:sz w:val="21"/>
                <w:szCs w:val="21"/>
                <w:lang w:val="en-US" w:eastAsia="zh-CN"/>
              </w:rPr>
              <w:t>采购人</w:t>
            </w:r>
            <w:r>
              <w:rPr>
                <w:rFonts w:hint="eastAsia" w:ascii="仿宋_GB2312" w:hAnsi="仿宋_GB2312" w:eastAsia="仿宋_GB2312" w:cs="仿宋_GB2312"/>
                <w:bCs/>
                <w:spacing w:val="0"/>
                <w:sz w:val="21"/>
                <w:szCs w:val="21"/>
                <w:lang w:eastAsia="zh-CN"/>
              </w:rPr>
              <w:t>智慧医院信息化建设。在保修期内，应免费将软件更新、维护并免费提供更新所需的硬件，免费开放软件端口，无偿派人配合与医院信息系统（包括但不限于HIS、PACS、LIS等系统）的连接工作，直至该设备与医院信息系统可进行完整的数据交换；当医院信息系统变更或其他情形需要与该设备连接时，须无偿派人配合，直至该设备与医院信息系统可进行完整的数据交换，确保数据安全，无外泄。</w:t>
            </w:r>
          </w:p>
        </w:tc>
      </w:tr>
      <w:tr w14:paraId="3287B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23" w:type="dxa"/>
            <w:tcBorders>
              <w:top w:val="single" w:color="auto" w:sz="4" w:space="0"/>
              <w:left w:val="single" w:color="auto" w:sz="4" w:space="0"/>
              <w:bottom w:val="single" w:color="auto" w:sz="4" w:space="0"/>
              <w:right w:val="single" w:color="auto" w:sz="4" w:space="0"/>
            </w:tcBorders>
            <w:vAlign w:val="center"/>
          </w:tcPr>
          <w:p w14:paraId="4D03A6C8">
            <w:pPr>
              <w:spacing w:line="340" w:lineRule="exact"/>
              <w:jc w:val="center"/>
              <w:rPr>
                <w:rFonts w:hint="eastAsia" w:ascii="仿宋_GB2312" w:hAnsi="仿宋_GB2312" w:eastAsia="仿宋_GB2312" w:cs="仿宋_GB2312"/>
                <w:b w:val="0"/>
                <w:bCs/>
                <w:szCs w:val="21"/>
                <w:lang w:eastAsia="zh-CN"/>
              </w:rPr>
            </w:pPr>
            <w:r>
              <w:rPr>
                <w:rFonts w:hint="eastAsia" w:ascii="仿宋_GB2312" w:hAnsi="仿宋_GB2312" w:eastAsia="仿宋_GB2312" w:cs="仿宋_GB2312"/>
                <w:b w:val="0"/>
                <w:bCs/>
                <w:szCs w:val="21"/>
                <w:lang w:val="en-US" w:eastAsia="zh-CN"/>
              </w:rPr>
              <w:t>6</w:t>
            </w:r>
          </w:p>
        </w:tc>
        <w:tc>
          <w:tcPr>
            <w:tcW w:w="1757" w:type="dxa"/>
            <w:tcBorders>
              <w:top w:val="single" w:color="auto" w:sz="4" w:space="0"/>
              <w:left w:val="single" w:color="auto" w:sz="4" w:space="0"/>
              <w:bottom w:val="single" w:color="auto" w:sz="4" w:space="0"/>
              <w:right w:val="single" w:color="auto" w:sz="4" w:space="0"/>
            </w:tcBorders>
            <w:shd w:val="clear" w:color="auto" w:fill="auto"/>
            <w:vAlign w:val="center"/>
          </w:tcPr>
          <w:p w14:paraId="56AD3CBE">
            <w:pPr>
              <w:spacing w:line="340" w:lineRule="exact"/>
              <w:jc w:val="center"/>
              <w:rPr>
                <w:rFonts w:hint="eastAsia" w:ascii="仿宋_GB2312" w:hAnsi="仿宋_GB2312" w:eastAsia="仿宋_GB2312" w:cs="仿宋_GB2312"/>
                <w:b w:val="0"/>
                <w:bCs w:val="0"/>
                <w:color w:val="000000" w:themeColor="text1"/>
                <w:szCs w:val="21"/>
                <w14:textFill>
                  <w14:solidFill>
                    <w14:schemeClr w14:val="tx1"/>
                  </w14:solidFill>
                </w14:textFill>
              </w:rPr>
            </w:pPr>
            <w:r>
              <w:rPr>
                <w:rFonts w:hint="eastAsia" w:ascii="仿宋_GB2312" w:hAnsi="仿宋_GB2312" w:eastAsia="仿宋_GB2312" w:cs="仿宋_GB2312"/>
                <w:b w:val="0"/>
                <w:bCs w:val="0"/>
                <w:color w:val="000000" w:themeColor="text1"/>
                <w:szCs w:val="21"/>
                <w14:textFill>
                  <w14:solidFill>
                    <w14:schemeClr w14:val="tx1"/>
                  </w14:solidFill>
                </w14:textFill>
              </w:rPr>
              <w:t>应急预案</w:t>
            </w:r>
          </w:p>
          <w:p w14:paraId="48624AFB">
            <w:pPr>
              <w:spacing w:line="340" w:lineRule="exact"/>
              <w:jc w:val="center"/>
              <w:rPr>
                <w:rFonts w:ascii="仿宋_GB2312" w:hAnsi="仿宋_GB2312" w:eastAsia="仿宋_GB2312" w:cs="仿宋_GB2312"/>
                <w:b w:val="0"/>
                <w:bCs w:val="0"/>
                <w:color w:val="000000" w:themeColor="text1"/>
                <w:szCs w:val="21"/>
                <w14:textFill>
                  <w14:solidFill>
                    <w14:schemeClr w14:val="tx1"/>
                  </w14:solidFill>
                </w14:textFill>
              </w:rPr>
            </w:pPr>
            <w:r>
              <w:rPr>
                <w:rFonts w:hint="eastAsia" w:ascii="仿宋_GB2312" w:hAnsi="仿宋_GB2312" w:eastAsia="仿宋_GB2312" w:cs="仿宋_GB2312"/>
                <w:b w:val="0"/>
                <w:bCs w:val="0"/>
                <w:color w:val="000000" w:themeColor="text1"/>
                <w:szCs w:val="21"/>
                <w14:textFill>
                  <w14:solidFill>
                    <w14:schemeClr w14:val="tx1"/>
                  </w14:solidFill>
                </w14:textFill>
              </w:rPr>
              <w:t>需求</w:t>
            </w:r>
          </w:p>
        </w:tc>
        <w:tc>
          <w:tcPr>
            <w:tcW w:w="5940" w:type="dxa"/>
            <w:tcBorders>
              <w:top w:val="single" w:color="auto" w:sz="4" w:space="0"/>
              <w:left w:val="single" w:color="auto" w:sz="4" w:space="0"/>
              <w:bottom w:val="single" w:color="auto" w:sz="4" w:space="0"/>
              <w:right w:val="single" w:color="auto" w:sz="4" w:space="0"/>
            </w:tcBorders>
            <w:shd w:val="clear" w:color="auto" w:fill="auto"/>
            <w:vAlign w:val="center"/>
          </w:tcPr>
          <w:p w14:paraId="7179D38E">
            <w:pPr>
              <w:widowControl/>
              <w:tabs>
                <w:tab w:val="left" w:pos="3697"/>
              </w:tabs>
              <w:kinsoku w:val="0"/>
              <w:autoSpaceDE w:val="0"/>
              <w:autoSpaceDN w:val="0"/>
              <w:adjustRightInd w:val="0"/>
              <w:snapToGrid w:val="0"/>
              <w:spacing w:line="340" w:lineRule="exact"/>
              <w:jc w:val="left"/>
              <w:textAlignment w:val="baseline"/>
              <w:rPr>
                <w:rFonts w:hint="eastAsia" w:ascii="仿宋_GB2312" w:hAnsi="仿宋_GB2312" w:eastAsia="仿宋_GB2312" w:cs="仿宋_GB2312"/>
                <w:bCs/>
                <w:szCs w:val="21"/>
              </w:rPr>
            </w:pPr>
            <w:r>
              <w:rPr>
                <w:rFonts w:hint="eastAsia" w:ascii="仿宋_GB2312" w:hAnsi="仿宋_GB2312" w:eastAsia="仿宋_GB2312" w:cs="仿宋_GB2312"/>
                <w:bCs/>
                <w:szCs w:val="21"/>
              </w:rPr>
              <w:t>发生突发问题厂家需携带可使用的备用机24小时内到场，根据现场情况采用现场维修或备用机替代的方法，确保手术顺利进行。</w:t>
            </w:r>
          </w:p>
        </w:tc>
      </w:tr>
      <w:tr w14:paraId="4D2C9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123" w:type="dxa"/>
            <w:tcBorders>
              <w:top w:val="single" w:color="auto" w:sz="4" w:space="0"/>
              <w:left w:val="single" w:color="auto" w:sz="4" w:space="0"/>
              <w:bottom w:val="single" w:color="auto" w:sz="4" w:space="0"/>
              <w:right w:val="single" w:color="auto" w:sz="4" w:space="0"/>
            </w:tcBorders>
            <w:vAlign w:val="center"/>
          </w:tcPr>
          <w:p w14:paraId="3052B8B3">
            <w:pPr>
              <w:spacing w:line="340" w:lineRule="exact"/>
              <w:jc w:val="center"/>
              <w:rPr>
                <w:rFonts w:hint="eastAsia" w:ascii="仿宋_GB2312" w:hAnsi="仿宋_GB2312" w:eastAsia="仿宋_GB2312" w:cs="仿宋_GB2312"/>
                <w:b w:val="0"/>
                <w:bCs/>
                <w:szCs w:val="21"/>
                <w:lang w:eastAsia="zh-CN"/>
              </w:rPr>
            </w:pPr>
            <w:r>
              <w:rPr>
                <w:rFonts w:hint="eastAsia" w:ascii="仿宋_GB2312" w:hAnsi="仿宋_GB2312" w:eastAsia="仿宋_GB2312" w:cs="仿宋_GB2312"/>
                <w:b w:val="0"/>
                <w:bCs/>
                <w:szCs w:val="21"/>
                <w:lang w:val="en-US" w:eastAsia="zh-CN"/>
              </w:rPr>
              <w:t>7</w:t>
            </w:r>
          </w:p>
        </w:tc>
        <w:tc>
          <w:tcPr>
            <w:tcW w:w="1757" w:type="dxa"/>
            <w:tcBorders>
              <w:top w:val="single" w:color="auto" w:sz="4" w:space="0"/>
              <w:left w:val="single" w:color="auto" w:sz="4" w:space="0"/>
              <w:bottom w:val="single" w:color="auto" w:sz="4" w:space="0"/>
              <w:right w:val="single" w:color="auto" w:sz="4" w:space="0"/>
            </w:tcBorders>
            <w:shd w:val="clear" w:color="auto" w:fill="auto"/>
            <w:vAlign w:val="center"/>
          </w:tcPr>
          <w:p w14:paraId="48B297FA">
            <w:pPr>
              <w:spacing w:line="340" w:lineRule="exact"/>
              <w:jc w:val="center"/>
              <w:rPr>
                <w:rFonts w:ascii="仿宋_GB2312" w:hAnsi="仿宋_GB2312" w:eastAsia="仿宋_GB2312" w:cs="仿宋_GB2312"/>
                <w:b w:val="0"/>
                <w:bCs w:val="0"/>
                <w:color w:val="000000" w:themeColor="text1"/>
                <w:szCs w:val="21"/>
                <w14:textFill>
                  <w14:solidFill>
                    <w14:schemeClr w14:val="tx1"/>
                  </w14:solidFill>
                </w14:textFill>
              </w:rPr>
            </w:pPr>
            <w:r>
              <w:rPr>
                <w:rFonts w:hint="eastAsia" w:ascii="仿宋_GB2312" w:hAnsi="仿宋_GB2312" w:eastAsia="仿宋_GB2312" w:cs="仿宋_GB2312"/>
                <w:b w:val="0"/>
                <w:bCs w:val="0"/>
                <w:color w:val="000000" w:themeColor="text1"/>
                <w:szCs w:val="21"/>
                <w14:textFill>
                  <w14:solidFill>
                    <w14:schemeClr w14:val="tx1"/>
                  </w14:solidFill>
                </w14:textFill>
              </w:rPr>
              <w:t>定期三级保养/维护及履约评价需求</w:t>
            </w:r>
          </w:p>
        </w:tc>
        <w:tc>
          <w:tcPr>
            <w:tcW w:w="5940" w:type="dxa"/>
            <w:tcBorders>
              <w:top w:val="single" w:color="auto" w:sz="4" w:space="0"/>
              <w:left w:val="single" w:color="auto" w:sz="4" w:space="0"/>
              <w:bottom w:val="single" w:color="auto" w:sz="4" w:space="0"/>
              <w:right w:val="single" w:color="auto" w:sz="4" w:space="0"/>
            </w:tcBorders>
            <w:shd w:val="clear" w:color="auto" w:fill="auto"/>
            <w:vAlign w:val="center"/>
          </w:tcPr>
          <w:p w14:paraId="6B6F7986">
            <w:pPr>
              <w:spacing w:line="340" w:lineRule="exact"/>
              <w:jc w:val="left"/>
              <w:rPr>
                <w:rFonts w:ascii="仿宋_GB2312" w:hAnsi="仿宋_GB2312" w:eastAsia="仿宋_GB2312" w:cs="仿宋_GB2312"/>
                <w:bCs/>
                <w:szCs w:val="21"/>
              </w:rPr>
            </w:pPr>
            <w:r>
              <w:rPr>
                <w:rFonts w:hint="eastAsia" w:ascii="仿宋_GB2312" w:hAnsi="仿宋_GB2312" w:eastAsia="仿宋_GB2312" w:cs="仿宋_GB2312"/>
                <w:bCs/>
                <w:spacing w:val="0"/>
                <w:sz w:val="21"/>
                <w:szCs w:val="21"/>
                <w:lang w:eastAsia="zh-CN"/>
              </w:rPr>
              <w:t>设备保养、维修服务应由厂家工程师或授权维修企业工程师负责，按产品说明书规定或相关行业规定进行保养，</w:t>
            </w: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每半年进行三级保养，并提供三级保养报告</w:t>
            </w:r>
            <w:r>
              <w:rPr>
                <w:rFonts w:hint="eastAsia" w:ascii="仿宋_GB2312" w:hAnsi="仿宋_GB2312" w:eastAsia="仿宋_GB2312" w:cs="仿宋_GB2312"/>
                <w:bCs/>
                <w:spacing w:val="0"/>
                <w:sz w:val="21"/>
                <w:szCs w:val="21"/>
                <w:lang w:eastAsia="zh-CN"/>
              </w:rPr>
              <w:t>。并免费提供技术咨询服务。</w:t>
            </w:r>
          </w:p>
          <w:p w14:paraId="4C3BAAB2">
            <w:pPr>
              <w:spacing w:line="340" w:lineRule="exact"/>
              <w:jc w:val="left"/>
              <w:rPr>
                <w:rFonts w:ascii="仿宋_GB2312" w:hAnsi="仿宋_GB2312" w:eastAsia="仿宋_GB2312" w:cs="仿宋_GB2312"/>
                <w:bCs/>
                <w:szCs w:val="21"/>
              </w:rPr>
            </w:pPr>
            <w:r>
              <w:rPr>
                <w:rFonts w:hint="eastAsia" w:ascii="仿宋_GB2312" w:hAnsi="仿宋_GB2312" w:eastAsia="仿宋_GB2312" w:cs="仿宋_GB2312"/>
                <w:bCs/>
                <w:szCs w:val="21"/>
              </w:rPr>
              <w:t>货物到达指定位置十日后由临床使用人与归口管理科室进行设备应用质量评价，达到使用质量评价要求后完成验收流程。</w:t>
            </w:r>
          </w:p>
        </w:tc>
      </w:tr>
      <w:tr w14:paraId="7364D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123" w:type="dxa"/>
            <w:tcBorders>
              <w:top w:val="single" w:color="auto" w:sz="4" w:space="0"/>
              <w:left w:val="single" w:color="auto" w:sz="4" w:space="0"/>
              <w:bottom w:val="single" w:color="auto" w:sz="4" w:space="0"/>
              <w:right w:val="single" w:color="auto" w:sz="4" w:space="0"/>
            </w:tcBorders>
            <w:vAlign w:val="center"/>
          </w:tcPr>
          <w:p w14:paraId="151C6C2C">
            <w:pPr>
              <w:spacing w:line="340" w:lineRule="exact"/>
              <w:jc w:val="center"/>
              <w:rPr>
                <w:rFonts w:hint="default" w:ascii="仿宋_GB2312" w:hAnsi="仿宋_GB2312" w:eastAsia="仿宋_GB2312" w:cs="仿宋_GB2312"/>
                <w:b w:val="0"/>
                <w:bCs/>
                <w:szCs w:val="21"/>
                <w:lang w:val="en-US" w:eastAsia="zh-CN"/>
              </w:rPr>
            </w:pPr>
            <w:r>
              <w:rPr>
                <w:rFonts w:hint="eastAsia" w:ascii="仿宋_GB2312" w:hAnsi="仿宋_GB2312" w:eastAsia="仿宋_GB2312" w:cs="仿宋_GB2312"/>
                <w:b w:val="0"/>
                <w:bCs/>
                <w:szCs w:val="21"/>
                <w:lang w:val="en-US" w:eastAsia="zh-CN"/>
              </w:rPr>
              <w:t>8</w:t>
            </w:r>
          </w:p>
        </w:tc>
        <w:tc>
          <w:tcPr>
            <w:tcW w:w="1757" w:type="dxa"/>
            <w:tcBorders>
              <w:top w:val="single" w:color="auto" w:sz="4" w:space="0"/>
              <w:left w:val="single" w:color="auto" w:sz="4" w:space="0"/>
              <w:bottom w:val="single" w:color="auto" w:sz="4" w:space="0"/>
              <w:right w:val="single" w:color="auto" w:sz="4" w:space="0"/>
            </w:tcBorders>
            <w:shd w:val="clear" w:color="auto" w:fill="auto"/>
            <w:vAlign w:val="center"/>
          </w:tcPr>
          <w:p w14:paraId="047DFFF9">
            <w:pPr>
              <w:spacing w:line="340" w:lineRule="exact"/>
              <w:jc w:val="center"/>
              <w:rPr>
                <w:rFonts w:hint="eastAsia" w:ascii="仿宋_GB2312" w:hAnsi="仿宋_GB2312" w:eastAsia="仿宋_GB2312" w:cs="仿宋_GB2312"/>
                <w:b w:val="0"/>
                <w:bCs w:val="0"/>
                <w:color w:val="000000" w:themeColor="text1"/>
                <w:szCs w:val="21"/>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Cs w:val="21"/>
                <w:lang w:val="en-US" w:eastAsia="zh-CN"/>
                <w14:textFill>
                  <w14:solidFill>
                    <w14:schemeClr w14:val="tx1"/>
                  </w14:solidFill>
                </w14:textFill>
              </w:rPr>
              <w:t>培训</w:t>
            </w:r>
          </w:p>
        </w:tc>
        <w:tc>
          <w:tcPr>
            <w:tcW w:w="5940" w:type="dxa"/>
            <w:tcBorders>
              <w:top w:val="single" w:color="auto" w:sz="4" w:space="0"/>
              <w:left w:val="single" w:color="auto" w:sz="4" w:space="0"/>
              <w:bottom w:val="single" w:color="auto" w:sz="4" w:space="0"/>
              <w:right w:val="single" w:color="auto" w:sz="4" w:space="0"/>
            </w:tcBorders>
            <w:shd w:val="clear" w:color="auto" w:fill="auto"/>
            <w:vAlign w:val="center"/>
          </w:tcPr>
          <w:p w14:paraId="2CC320A7">
            <w:pPr>
              <w:spacing w:line="340" w:lineRule="exact"/>
              <w:jc w:val="left"/>
              <w:rPr>
                <w:rFonts w:hint="eastAsia" w:ascii="仿宋_GB2312" w:hAnsi="仿宋_GB2312" w:eastAsia="仿宋_GB2312" w:cs="仿宋_GB2312"/>
                <w:bCs/>
                <w:szCs w:val="21"/>
              </w:rPr>
            </w:pPr>
            <w:r>
              <w:rPr>
                <w:rFonts w:hint="eastAsia" w:ascii="仿宋_GB2312" w:hAnsi="仿宋_GB2312" w:eastAsia="仿宋_GB2312" w:cs="仿宋_GB2312"/>
                <w:bCs/>
                <w:szCs w:val="21"/>
                <w:lang w:val="en-US" w:eastAsia="zh-CN"/>
              </w:rPr>
              <w:t>投标人</w:t>
            </w:r>
            <w:r>
              <w:rPr>
                <w:rFonts w:hint="eastAsia" w:ascii="仿宋_GB2312" w:hAnsi="仿宋_GB2312" w:eastAsia="仿宋_GB2312" w:cs="仿宋_GB2312"/>
                <w:bCs/>
                <w:szCs w:val="21"/>
              </w:rPr>
              <w:t>承诺设备</w:t>
            </w:r>
            <w:r>
              <w:rPr>
                <w:rFonts w:hint="eastAsia" w:ascii="仿宋_GB2312" w:hAnsi="仿宋_GB2312" w:eastAsia="仿宋_GB2312" w:cs="仿宋_GB2312"/>
                <w:bCs/>
                <w:szCs w:val="21"/>
                <w:lang w:val="en-US" w:eastAsia="zh-CN"/>
              </w:rPr>
              <w:t>到货后</w:t>
            </w:r>
            <w:r>
              <w:rPr>
                <w:rFonts w:hint="eastAsia" w:ascii="仿宋_GB2312" w:hAnsi="仿宋_GB2312" w:eastAsia="仿宋_GB2312" w:cs="仿宋_GB2312"/>
                <w:bCs/>
                <w:szCs w:val="21"/>
              </w:rPr>
              <w:t>有专业人员对</w:t>
            </w:r>
            <w:r>
              <w:rPr>
                <w:rFonts w:hint="eastAsia" w:ascii="仿宋_GB2312" w:hAnsi="仿宋_GB2312" w:eastAsia="仿宋_GB2312" w:cs="仿宋_GB2312"/>
                <w:bCs/>
                <w:szCs w:val="21"/>
                <w:lang w:val="en-US" w:eastAsia="zh-CN"/>
              </w:rPr>
              <w:t>采购人的</w:t>
            </w:r>
            <w:r>
              <w:rPr>
                <w:rFonts w:hint="eastAsia" w:ascii="仿宋_GB2312" w:hAnsi="仿宋_GB2312" w:eastAsia="仿宋_GB2312" w:cs="仿宋_GB2312"/>
                <w:bCs/>
                <w:szCs w:val="21"/>
              </w:rPr>
              <w:t>临床操作人员进行专业的培训，并承诺在5年内对</w:t>
            </w:r>
            <w:r>
              <w:rPr>
                <w:rFonts w:hint="eastAsia" w:ascii="仿宋_GB2312" w:hAnsi="仿宋_GB2312" w:eastAsia="仿宋_GB2312" w:cs="仿宋_GB2312"/>
                <w:bCs/>
                <w:szCs w:val="21"/>
                <w:lang w:val="en-US" w:eastAsia="zh-CN"/>
              </w:rPr>
              <w:t>采购人的</w:t>
            </w:r>
            <w:r>
              <w:rPr>
                <w:rFonts w:hint="eastAsia" w:ascii="仿宋_GB2312" w:hAnsi="仿宋_GB2312" w:eastAsia="仿宋_GB2312" w:cs="仿宋_GB2312"/>
                <w:bCs/>
                <w:szCs w:val="21"/>
              </w:rPr>
              <w:t>临床操作人员、维修工程师进行免费培训。</w:t>
            </w:r>
          </w:p>
        </w:tc>
      </w:tr>
      <w:tr w14:paraId="62B0D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123" w:type="dxa"/>
            <w:tcBorders>
              <w:top w:val="single" w:color="auto" w:sz="4" w:space="0"/>
              <w:left w:val="single" w:color="auto" w:sz="4" w:space="0"/>
              <w:bottom w:val="single" w:color="auto" w:sz="4" w:space="0"/>
              <w:right w:val="single" w:color="auto" w:sz="4" w:space="0"/>
            </w:tcBorders>
            <w:vAlign w:val="center"/>
          </w:tcPr>
          <w:p w14:paraId="2A1A66B7">
            <w:pPr>
              <w:spacing w:line="340" w:lineRule="exact"/>
              <w:jc w:val="center"/>
              <w:rPr>
                <w:rFonts w:hint="eastAsia" w:ascii="仿宋_GB2312" w:hAnsi="仿宋_GB2312" w:eastAsia="仿宋_GB2312" w:cs="仿宋_GB2312"/>
                <w:b w:val="0"/>
                <w:bCs/>
                <w:szCs w:val="21"/>
                <w:lang w:val="en-US" w:eastAsia="zh-CN"/>
              </w:rPr>
            </w:pPr>
            <w:r>
              <w:rPr>
                <w:rFonts w:hint="eastAsia" w:ascii="仿宋_GB2312" w:hAnsi="仿宋_GB2312" w:eastAsia="仿宋_GB2312" w:cs="仿宋_GB2312"/>
                <w:b w:val="0"/>
                <w:bCs/>
                <w:szCs w:val="21"/>
                <w:lang w:val="en-US" w:eastAsia="zh-CN"/>
              </w:rPr>
              <w:t>9</w:t>
            </w:r>
          </w:p>
        </w:tc>
        <w:tc>
          <w:tcPr>
            <w:tcW w:w="1757" w:type="dxa"/>
            <w:tcBorders>
              <w:top w:val="single" w:color="auto" w:sz="4" w:space="0"/>
              <w:left w:val="single" w:color="auto" w:sz="4" w:space="0"/>
              <w:bottom w:val="single" w:color="auto" w:sz="4" w:space="0"/>
              <w:right w:val="single" w:color="auto" w:sz="4" w:space="0"/>
            </w:tcBorders>
            <w:vAlign w:val="center"/>
          </w:tcPr>
          <w:p w14:paraId="1AAB9AEB">
            <w:pPr>
              <w:spacing w:line="340" w:lineRule="exact"/>
              <w:jc w:val="center"/>
              <w:rPr>
                <w:rFonts w:ascii="仿宋_GB2312" w:hAnsi="仿宋_GB2312" w:eastAsia="仿宋_GB2312" w:cs="仿宋_GB2312"/>
                <w:b/>
                <w:szCs w:val="21"/>
              </w:rPr>
            </w:pPr>
            <w:r>
              <w:rPr>
                <w:rFonts w:hint="eastAsia" w:ascii="仿宋_GB2312" w:hAnsi="仿宋_GB2312" w:eastAsia="仿宋_GB2312" w:cs="仿宋_GB2312"/>
                <w:szCs w:val="21"/>
              </w:rPr>
              <w:t>其他</w:t>
            </w:r>
          </w:p>
        </w:tc>
        <w:tc>
          <w:tcPr>
            <w:tcW w:w="5940" w:type="dxa"/>
            <w:tcBorders>
              <w:top w:val="single" w:color="auto" w:sz="4" w:space="0"/>
              <w:left w:val="single" w:color="auto" w:sz="4" w:space="0"/>
              <w:bottom w:val="single" w:color="auto" w:sz="4" w:space="0"/>
              <w:right w:val="single" w:color="auto" w:sz="4" w:space="0"/>
            </w:tcBorders>
            <w:vAlign w:val="center"/>
          </w:tcPr>
          <w:p w14:paraId="57949166">
            <w:pPr>
              <w:spacing w:line="340" w:lineRule="exact"/>
              <w:jc w:val="left"/>
              <w:rPr>
                <w:rFonts w:ascii="仿宋_GB2312" w:hAnsi="仿宋_GB2312" w:eastAsia="仿宋_GB2312" w:cs="仿宋_GB2312"/>
                <w:b/>
                <w:szCs w:val="21"/>
              </w:rPr>
            </w:pPr>
            <w:r>
              <w:rPr>
                <w:rFonts w:hint="eastAsia" w:ascii="仿宋_GB2312" w:hAnsi="仿宋_GB2312" w:eastAsia="仿宋_GB2312" w:cs="仿宋_GB2312"/>
                <w:bCs/>
                <w:szCs w:val="21"/>
              </w:rPr>
              <w:t>投标人应按其投标文件中的承诺，进行其他售后服务工作。</w:t>
            </w:r>
          </w:p>
        </w:tc>
      </w:tr>
      <w:tr w14:paraId="1E1B3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820" w:type="dxa"/>
            <w:gridSpan w:val="3"/>
            <w:tcBorders>
              <w:top w:val="single" w:color="auto" w:sz="4" w:space="0"/>
              <w:left w:val="single" w:color="auto" w:sz="4" w:space="0"/>
              <w:bottom w:val="single" w:color="auto" w:sz="4" w:space="0"/>
              <w:right w:val="single" w:color="auto" w:sz="4" w:space="0"/>
            </w:tcBorders>
          </w:tcPr>
          <w:p w14:paraId="16EB62BC">
            <w:pPr>
              <w:spacing w:line="340" w:lineRule="exact"/>
              <w:jc w:val="left"/>
              <w:rPr>
                <w:rFonts w:ascii="仿宋_GB2312" w:hAnsi="仿宋_GB2312" w:eastAsia="仿宋_GB2312" w:cs="仿宋_GB2312"/>
                <w:b/>
                <w:szCs w:val="21"/>
              </w:rPr>
            </w:pPr>
            <w:r>
              <w:rPr>
                <w:rFonts w:hint="eastAsia" w:ascii="仿宋_GB2312" w:hAnsi="仿宋_GB2312" w:eastAsia="仿宋_GB2312" w:cs="仿宋_GB2312"/>
                <w:b/>
                <w:szCs w:val="21"/>
              </w:rPr>
              <w:t>（二）免费保修期外售后服务要求</w:t>
            </w:r>
          </w:p>
        </w:tc>
      </w:tr>
      <w:tr w14:paraId="515E7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123" w:type="dxa"/>
            <w:tcBorders>
              <w:top w:val="single" w:color="auto" w:sz="4" w:space="0"/>
              <w:left w:val="single" w:color="auto" w:sz="4" w:space="0"/>
              <w:bottom w:val="single" w:color="auto" w:sz="4" w:space="0"/>
              <w:right w:val="single" w:color="auto" w:sz="4" w:space="0"/>
            </w:tcBorders>
            <w:vAlign w:val="center"/>
          </w:tcPr>
          <w:p w14:paraId="54591E1E">
            <w:pPr>
              <w:spacing w:line="3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1</w:t>
            </w:r>
          </w:p>
        </w:tc>
        <w:tc>
          <w:tcPr>
            <w:tcW w:w="1757" w:type="dxa"/>
            <w:tcBorders>
              <w:top w:val="single" w:color="auto" w:sz="4" w:space="0"/>
              <w:left w:val="single" w:color="auto" w:sz="4" w:space="0"/>
              <w:bottom w:val="single" w:color="auto" w:sz="4" w:space="0"/>
              <w:right w:val="single" w:color="auto" w:sz="4" w:space="0"/>
            </w:tcBorders>
            <w:shd w:val="clear" w:color="auto" w:fill="auto"/>
            <w:vAlign w:val="center"/>
          </w:tcPr>
          <w:p w14:paraId="6DFAA331">
            <w:pPr>
              <w:spacing w:line="3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关于免费保修期后维修服务</w:t>
            </w:r>
          </w:p>
        </w:tc>
        <w:tc>
          <w:tcPr>
            <w:tcW w:w="5940" w:type="dxa"/>
            <w:tcBorders>
              <w:top w:val="single" w:color="auto" w:sz="4" w:space="0"/>
              <w:left w:val="single" w:color="auto" w:sz="4" w:space="0"/>
              <w:bottom w:val="single" w:color="auto" w:sz="4" w:space="0"/>
              <w:right w:val="single" w:color="auto" w:sz="4" w:space="0"/>
            </w:tcBorders>
            <w:shd w:val="clear" w:color="auto" w:fill="auto"/>
          </w:tcPr>
          <w:p w14:paraId="3A8E7C06">
            <w:pPr>
              <w:spacing w:line="340" w:lineRule="exact"/>
              <w:jc w:val="left"/>
              <w:rPr>
                <w:rFonts w:ascii="仿宋_GB2312" w:hAnsi="仿宋_GB2312" w:eastAsia="仿宋_GB2312" w:cs="仿宋_GB2312"/>
                <w:bCs/>
                <w:szCs w:val="21"/>
              </w:rPr>
            </w:pPr>
            <w:r>
              <w:rPr>
                <w:rFonts w:hint="eastAsia" w:ascii="仿宋_GB2312" w:hAnsi="仿宋_GB2312" w:eastAsia="仿宋_GB2312" w:cs="仿宋_GB2312"/>
                <w:bCs/>
                <w:spacing w:val="0"/>
                <w:sz w:val="21"/>
                <w:szCs w:val="21"/>
                <w:lang w:eastAsia="zh-CN"/>
              </w:rPr>
              <w:t>保修期满后，以成本的优惠价供应维修零配件，以成本的优惠价供应消耗品；需维修设备经使用部门验收合格且厂家提供维修专用发票后，</w:t>
            </w:r>
            <w:r>
              <w:rPr>
                <w:rFonts w:hint="eastAsia" w:ascii="仿宋_GB2312" w:hAnsi="仿宋_GB2312" w:eastAsia="仿宋_GB2312" w:cs="仿宋_GB2312"/>
                <w:bCs/>
                <w:spacing w:val="0"/>
                <w:sz w:val="21"/>
                <w:szCs w:val="21"/>
                <w:lang w:val="en-US" w:eastAsia="zh-CN"/>
              </w:rPr>
              <w:t>采购人仅</w:t>
            </w:r>
            <w:r>
              <w:rPr>
                <w:rFonts w:hint="eastAsia" w:ascii="仿宋_GB2312" w:hAnsi="仿宋_GB2312" w:eastAsia="仿宋_GB2312" w:cs="仿宋_GB2312"/>
                <w:bCs/>
                <w:spacing w:val="0"/>
                <w:sz w:val="21"/>
                <w:szCs w:val="21"/>
                <w:lang w:eastAsia="zh-CN"/>
              </w:rPr>
              <w:t>支付</w:t>
            </w:r>
            <w:r>
              <w:rPr>
                <w:rFonts w:hint="eastAsia" w:ascii="仿宋_GB2312" w:hAnsi="仿宋_GB2312" w:eastAsia="仿宋_GB2312" w:cs="仿宋_GB2312"/>
                <w:bCs/>
                <w:spacing w:val="0"/>
                <w:sz w:val="21"/>
                <w:szCs w:val="21"/>
                <w:lang w:val="en-US" w:eastAsia="zh-CN"/>
              </w:rPr>
              <w:t>配件</w:t>
            </w:r>
            <w:r>
              <w:rPr>
                <w:rFonts w:hint="eastAsia" w:ascii="仿宋_GB2312" w:hAnsi="仿宋_GB2312" w:eastAsia="仿宋_GB2312" w:cs="仿宋_GB2312"/>
                <w:bCs/>
                <w:spacing w:val="0"/>
                <w:sz w:val="21"/>
                <w:szCs w:val="21"/>
                <w:lang w:eastAsia="zh-CN"/>
              </w:rPr>
              <w:t>费用。</w:t>
            </w:r>
            <w:r>
              <w:rPr>
                <w:rFonts w:hint="eastAsia" w:ascii="仿宋_GB2312" w:hAnsi="仿宋_GB2312" w:eastAsia="仿宋_GB2312" w:cs="仿宋_GB2312"/>
                <w:bCs/>
                <w:spacing w:val="0"/>
                <w:sz w:val="21"/>
                <w:szCs w:val="21"/>
                <w:lang w:val="en-US" w:eastAsia="zh-CN"/>
              </w:rPr>
              <w:t>中标人</w:t>
            </w:r>
            <w:r>
              <w:rPr>
                <w:rFonts w:hint="eastAsia" w:ascii="仿宋_GB2312" w:hAnsi="仿宋_GB2312" w:eastAsia="仿宋_GB2312" w:cs="仿宋_GB2312"/>
                <w:bCs/>
                <w:spacing w:val="0"/>
                <w:sz w:val="21"/>
                <w:szCs w:val="21"/>
                <w:lang w:eastAsia="zh-CN"/>
              </w:rPr>
              <w:t>及维修厂家不得以任何理由不按时进行设备维修。</w:t>
            </w:r>
          </w:p>
        </w:tc>
      </w:tr>
      <w:tr w14:paraId="303DE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123" w:type="dxa"/>
            <w:tcBorders>
              <w:top w:val="single" w:color="auto" w:sz="4" w:space="0"/>
              <w:left w:val="single" w:color="auto" w:sz="4" w:space="0"/>
              <w:bottom w:val="single" w:color="auto" w:sz="4" w:space="0"/>
              <w:right w:val="single" w:color="auto" w:sz="4" w:space="0"/>
            </w:tcBorders>
            <w:vAlign w:val="center"/>
          </w:tcPr>
          <w:p w14:paraId="6D600FD0">
            <w:pPr>
              <w:spacing w:line="3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2</w:t>
            </w:r>
          </w:p>
        </w:tc>
        <w:tc>
          <w:tcPr>
            <w:tcW w:w="1757" w:type="dxa"/>
            <w:tcBorders>
              <w:top w:val="single" w:color="auto" w:sz="4" w:space="0"/>
              <w:left w:val="single" w:color="auto" w:sz="4" w:space="0"/>
              <w:bottom w:val="single" w:color="auto" w:sz="4" w:space="0"/>
              <w:right w:val="single" w:color="auto" w:sz="4" w:space="0"/>
            </w:tcBorders>
            <w:shd w:val="clear" w:color="auto" w:fill="auto"/>
            <w:vAlign w:val="center"/>
          </w:tcPr>
          <w:p w14:paraId="3B4E7A9B">
            <w:pPr>
              <w:spacing w:line="3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关于培训</w:t>
            </w:r>
          </w:p>
        </w:tc>
        <w:tc>
          <w:tcPr>
            <w:tcW w:w="5940" w:type="dxa"/>
            <w:tcBorders>
              <w:top w:val="single" w:color="auto" w:sz="4" w:space="0"/>
              <w:left w:val="single" w:color="auto" w:sz="4" w:space="0"/>
              <w:bottom w:val="single" w:color="auto" w:sz="4" w:space="0"/>
              <w:right w:val="single" w:color="auto" w:sz="4" w:space="0"/>
            </w:tcBorders>
            <w:shd w:val="clear" w:color="auto" w:fill="auto"/>
          </w:tcPr>
          <w:p w14:paraId="0CC3DDED">
            <w:pPr>
              <w:spacing w:line="340" w:lineRule="exact"/>
              <w:jc w:val="left"/>
              <w:rPr>
                <w:rFonts w:ascii="仿宋_GB2312" w:hAnsi="仿宋_GB2312" w:eastAsia="仿宋_GB2312" w:cs="仿宋_GB2312"/>
                <w:bCs/>
                <w:szCs w:val="21"/>
              </w:rPr>
            </w:pPr>
            <w:r>
              <w:rPr>
                <w:rFonts w:hint="eastAsia" w:ascii="仿宋_GB2312" w:hAnsi="仿宋_GB2312" w:eastAsia="仿宋_GB2312" w:cs="仿宋_GB2312"/>
                <w:bCs/>
                <w:szCs w:val="21"/>
                <w:lang w:val="en-US" w:eastAsia="zh-CN"/>
              </w:rPr>
              <w:t>中标人</w:t>
            </w:r>
            <w:r>
              <w:rPr>
                <w:rFonts w:hint="eastAsia" w:ascii="仿宋_GB2312" w:hAnsi="仿宋_GB2312" w:eastAsia="仿宋_GB2312" w:cs="仿宋_GB2312"/>
                <w:bCs/>
                <w:szCs w:val="21"/>
              </w:rPr>
              <w:t>有义务根据提供的要求进行</w:t>
            </w:r>
            <w:r>
              <w:rPr>
                <w:rFonts w:hint="eastAsia" w:ascii="仿宋_GB2312" w:hAnsi="仿宋_GB2312" w:eastAsia="仿宋_GB2312" w:cs="仿宋_GB2312"/>
                <w:bCs/>
                <w:szCs w:val="21"/>
                <w:lang w:val="en-US" w:eastAsia="zh-CN"/>
              </w:rPr>
              <w:t>每年不少于一次的培训</w:t>
            </w:r>
            <w:r>
              <w:rPr>
                <w:rFonts w:hint="eastAsia" w:ascii="仿宋_GB2312" w:hAnsi="仿宋_GB2312" w:eastAsia="仿宋_GB2312" w:cs="仿宋_GB2312"/>
                <w:bCs/>
                <w:szCs w:val="21"/>
              </w:rPr>
              <w:t>。</w:t>
            </w:r>
          </w:p>
        </w:tc>
      </w:tr>
      <w:tr w14:paraId="734D7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8820" w:type="dxa"/>
            <w:gridSpan w:val="3"/>
            <w:tcBorders>
              <w:top w:val="single" w:color="auto" w:sz="4" w:space="0"/>
              <w:left w:val="single" w:color="auto" w:sz="4" w:space="0"/>
              <w:bottom w:val="single" w:color="auto" w:sz="4" w:space="0"/>
              <w:right w:val="single" w:color="auto" w:sz="4" w:space="0"/>
            </w:tcBorders>
          </w:tcPr>
          <w:p w14:paraId="1820405E">
            <w:pPr>
              <w:spacing w:line="340" w:lineRule="exact"/>
              <w:jc w:val="left"/>
              <w:rPr>
                <w:rFonts w:ascii="仿宋_GB2312" w:hAnsi="仿宋_GB2312" w:eastAsia="仿宋_GB2312" w:cs="仿宋_GB2312"/>
                <w:b/>
                <w:szCs w:val="21"/>
              </w:rPr>
            </w:pPr>
            <w:r>
              <w:rPr>
                <w:rFonts w:hint="eastAsia" w:ascii="仿宋_GB2312" w:hAnsi="仿宋_GB2312" w:eastAsia="仿宋_GB2312" w:cs="仿宋_GB2312"/>
                <w:b/>
                <w:szCs w:val="21"/>
              </w:rPr>
              <w:t>（三）其他商务要求</w:t>
            </w:r>
          </w:p>
        </w:tc>
      </w:tr>
      <w:tr w14:paraId="4EEB5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123" w:type="dxa"/>
            <w:vMerge w:val="restart"/>
            <w:tcBorders>
              <w:top w:val="single" w:color="auto" w:sz="4" w:space="0"/>
              <w:left w:val="single" w:color="auto" w:sz="4" w:space="0"/>
              <w:bottom w:val="single" w:color="auto" w:sz="4" w:space="0"/>
              <w:right w:val="single" w:color="auto" w:sz="4" w:space="0"/>
            </w:tcBorders>
            <w:vAlign w:val="center"/>
          </w:tcPr>
          <w:p w14:paraId="69229341">
            <w:pPr>
              <w:spacing w:line="3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1</w:t>
            </w:r>
          </w:p>
        </w:tc>
        <w:tc>
          <w:tcPr>
            <w:tcW w:w="1757" w:type="dxa"/>
            <w:vMerge w:val="restart"/>
            <w:tcBorders>
              <w:top w:val="single" w:color="auto" w:sz="4" w:space="0"/>
              <w:left w:val="single" w:color="auto" w:sz="4" w:space="0"/>
              <w:bottom w:val="single" w:color="auto" w:sz="4" w:space="0"/>
              <w:right w:val="single" w:color="auto" w:sz="4" w:space="0"/>
            </w:tcBorders>
            <w:vAlign w:val="center"/>
          </w:tcPr>
          <w:p w14:paraId="109C151D">
            <w:pPr>
              <w:spacing w:line="340" w:lineRule="exact"/>
              <w:jc w:val="center"/>
              <w:rPr>
                <w:rFonts w:ascii="仿宋_GB2312" w:hAnsi="仿宋_GB2312" w:eastAsia="仿宋_GB2312" w:cs="仿宋_GB2312"/>
                <w:szCs w:val="21"/>
              </w:rPr>
            </w:pPr>
            <w:r>
              <w:rPr>
                <w:rFonts w:hint="eastAsia" w:ascii="仿宋_GB2312" w:hAnsi="仿宋_GB2312" w:eastAsia="仿宋_GB2312" w:cs="仿宋_GB2312"/>
                <w:szCs w:val="21"/>
              </w:rPr>
              <w:t>关于交货</w:t>
            </w:r>
          </w:p>
        </w:tc>
        <w:tc>
          <w:tcPr>
            <w:tcW w:w="5940" w:type="dxa"/>
            <w:tcBorders>
              <w:top w:val="single" w:color="auto" w:sz="4" w:space="0"/>
              <w:left w:val="single" w:color="auto" w:sz="4" w:space="0"/>
              <w:bottom w:val="single" w:color="auto" w:sz="4" w:space="0"/>
              <w:right w:val="single" w:color="auto" w:sz="4" w:space="0"/>
            </w:tcBorders>
          </w:tcPr>
          <w:p w14:paraId="6815128B">
            <w:pPr>
              <w:spacing w:line="340" w:lineRule="exact"/>
              <w:jc w:val="left"/>
              <w:rPr>
                <w:rFonts w:hint="default" w:ascii="仿宋_GB2312" w:hAnsi="仿宋_GB2312" w:eastAsia="仿宋_GB2312" w:cs="仿宋_GB2312"/>
                <w:bCs/>
                <w:szCs w:val="21"/>
                <w:lang w:val="en-US" w:eastAsia="zh-CN"/>
              </w:rPr>
            </w:pPr>
            <w:r>
              <w:rPr>
                <w:rFonts w:hint="eastAsia" w:ascii="仿宋_GB2312" w:hAnsi="仿宋_GB2312" w:eastAsia="仿宋_GB2312" w:cs="仿宋_GB2312"/>
                <w:bCs/>
                <w:szCs w:val="21"/>
                <w:highlight w:val="none"/>
              </w:rPr>
              <w:t>1.1交货地点：深圳市</w:t>
            </w:r>
            <w:r>
              <w:rPr>
                <w:rFonts w:hint="eastAsia" w:ascii="仿宋_GB2312" w:hAnsi="仿宋_GB2312" w:eastAsia="仿宋_GB2312" w:cs="仿宋_GB2312"/>
                <w:bCs/>
                <w:szCs w:val="21"/>
                <w:highlight w:val="none"/>
                <w:lang w:val="en-US" w:eastAsia="zh-CN"/>
              </w:rPr>
              <w:t>龙华区民治街道新区大道388</w:t>
            </w:r>
            <w:r>
              <w:rPr>
                <w:rFonts w:hint="eastAsia" w:ascii="仿宋_GB2312" w:hAnsi="仿宋_GB2312" w:eastAsia="仿宋_GB2312" w:cs="仿宋_GB2312"/>
                <w:bCs/>
                <w:szCs w:val="21"/>
                <w:highlight w:val="none"/>
              </w:rPr>
              <w:t>号</w:t>
            </w:r>
          </w:p>
        </w:tc>
      </w:tr>
      <w:tr w14:paraId="39EB2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7" w:hRule="atLeast"/>
        </w:trPr>
        <w:tc>
          <w:tcPr>
            <w:tcW w:w="1123" w:type="dxa"/>
            <w:vMerge w:val="continue"/>
            <w:tcBorders>
              <w:top w:val="single" w:color="auto" w:sz="4" w:space="0"/>
              <w:left w:val="single" w:color="auto" w:sz="4" w:space="0"/>
              <w:bottom w:val="single" w:color="auto" w:sz="4" w:space="0"/>
              <w:right w:val="single" w:color="auto" w:sz="4" w:space="0"/>
            </w:tcBorders>
            <w:vAlign w:val="center"/>
          </w:tcPr>
          <w:p w14:paraId="7DCAE328">
            <w:pPr>
              <w:widowControl/>
              <w:spacing w:line="340" w:lineRule="exact"/>
              <w:jc w:val="left"/>
              <w:rPr>
                <w:rFonts w:ascii="仿宋_GB2312" w:hAnsi="仿宋_GB2312" w:eastAsia="仿宋_GB2312" w:cs="仿宋_GB2312"/>
                <w:bCs/>
                <w:szCs w:val="21"/>
              </w:rPr>
            </w:pPr>
          </w:p>
        </w:tc>
        <w:tc>
          <w:tcPr>
            <w:tcW w:w="1757" w:type="dxa"/>
            <w:vMerge w:val="continue"/>
            <w:tcBorders>
              <w:top w:val="single" w:color="auto" w:sz="4" w:space="0"/>
              <w:left w:val="single" w:color="auto" w:sz="4" w:space="0"/>
              <w:bottom w:val="single" w:color="auto" w:sz="4" w:space="0"/>
              <w:right w:val="single" w:color="auto" w:sz="4" w:space="0"/>
            </w:tcBorders>
            <w:vAlign w:val="center"/>
          </w:tcPr>
          <w:p w14:paraId="5B8723B4">
            <w:pPr>
              <w:widowControl/>
              <w:spacing w:line="340" w:lineRule="exact"/>
              <w:jc w:val="center"/>
              <w:rPr>
                <w:rFonts w:ascii="仿宋_GB2312" w:hAnsi="仿宋_GB2312" w:eastAsia="仿宋_GB2312" w:cs="仿宋_GB2312"/>
                <w:szCs w:val="21"/>
              </w:rPr>
            </w:pPr>
          </w:p>
        </w:tc>
        <w:tc>
          <w:tcPr>
            <w:tcW w:w="5940" w:type="dxa"/>
            <w:tcBorders>
              <w:top w:val="single" w:color="auto" w:sz="4" w:space="0"/>
              <w:left w:val="single" w:color="auto" w:sz="4" w:space="0"/>
              <w:bottom w:val="single" w:color="auto" w:sz="4" w:space="0"/>
              <w:right w:val="single" w:color="auto" w:sz="4" w:space="0"/>
            </w:tcBorders>
          </w:tcPr>
          <w:p w14:paraId="309925DF">
            <w:pPr>
              <w:spacing w:line="340" w:lineRule="exact"/>
              <w:jc w:val="left"/>
              <w:rPr>
                <w:rFonts w:ascii="仿宋_GB2312" w:hAnsi="仿宋_GB2312" w:eastAsia="仿宋_GB2312" w:cs="仿宋_GB2312"/>
                <w:bCs/>
                <w:szCs w:val="21"/>
              </w:rPr>
            </w:pPr>
            <w:r>
              <w:rPr>
                <w:rFonts w:hint="eastAsia" w:ascii="仿宋_GB2312" w:hAnsi="仿宋_GB2312" w:eastAsia="仿宋_GB2312" w:cs="仿宋_GB2312"/>
                <w:bCs/>
                <w:szCs w:val="21"/>
              </w:rPr>
              <w:t>★1.</w:t>
            </w:r>
            <w:r>
              <w:rPr>
                <w:rFonts w:hint="eastAsia" w:ascii="仿宋_GB2312" w:hAnsi="仿宋_GB2312" w:eastAsia="仿宋_GB2312" w:cs="仿宋_GB2312"/>
                <w:bCs/>
                <w:szCs w:val="21"/>
                <w:lang w:val="en-US" w:eastAsia="zh-CN"/>
              </w:rPr>
              <w:t>2中标人</w:t>
            </w:r>
            <w:r>
              <w:rPr>
                <w:rFonts w:hint="eastAsia" w:ascii="仿宋_GB2312" w:hAnsi="仿宋_GB2312" w:eastAsia="仿宋_GB2312" w:cs="仿宋_GB2312"/>
                <w:bCs/>
                <w:szCs w:val="21"/>
              </w:rPr>
              <w:t>应在合同签订后</w:t>
            </w:r>
            <w:r>
              <w:rPr>
                <w:rFonts w:hint="eastAsia" w:ascii="仿宋_GB2312" w:hAnsi="仿宋_GB2312" w:eastAsia="仿宋_GB2312" w:cs="仿宋_GB2312"/>
                <w:bCs/>
                <w:szCs w:val="21"/>
                <w:lang w:val="en-US" w:eastAsia="zh-CN"/>
              </w:rPr>
              <w:t>30</w:t>
            </w:r>
            <w:r>
              <w:rPr>
                <w:rFonts w:hint="eastAsia" w:ascii="仿宋_GB2312" w:hAnsi="仿宋_GB2312" w:eastAsia="仿宋_GB2312" w:cs="仿宋_GB2312"/>
                <w:bCs/>
                <w:szCs w:val="21"/>
              </w:rPr>
              <w:t>日内现货</w:t>
            </w:r>
            <w:r>
              <w:rPr>
                <w:rFonts w:hint="eastAsia" w:ascii="仿宋_GB2312" w:hAnsi="仿宋_GB2312" w:eastAsia="仿宋_GB2312" w:cs="仿宋_GB2312"/>
                <w:bCs/>
                <w:szCs w:val="21"/>
                <w:lang w:val="en-US" w:eastAsia="zh-CN"/>
              </w:rPr>
              <w:t>安全无损</w:t>
            </w:r>
            <w:r>
              <w:rPr>
                <w:rFonts w:hint="eastAsia" w:ascii="仿宋_GB2312" w:hAnsi="仿宋_GB2312" w:eastAsia="仿宋_GB2312" w:cs="仿宋_GB2312"/>
                <w:bCs/>
                <w:szCs w:val="21"/>
              </w:rPr>
              <w:t>送到</w:t>
            </w:r>
            <w:r>
              <w:rPr>
                <w:rFonts w:hint="eastAsia" w:ascii="仿宋_GB2312" w:hAnsi="仿宋_GB2312" w:eastAsia="仿宋_GB2312" w:cs="仿宋_GB2312"/>
                <w:bCs/>
                <w:szCs w:val="21"/>
                <w:lang w:val="en-US" w:eastAsia="zh-CN"/>
              </w:rPr>
              <w:t>采购人</w:t>
            </w:r>
            <w:r>
              <w:rPr>
                <w:rFonts w:hint="eastAsia" w:ascii="仿宋_GB2312" w:hAnsi="仿宋_GB2312" w:eastAsia="仿宋_GB2312" w:cs="仿宋_GB2312"/>
                <w:bCs/>
                <w:szCs w:val="21"/>
              </w:rPr>
              <w:t>指定</w:t>
            </w:r>
            <w:r>
              <w:rPr>
                <w:rFonts w:hint="eastAsia" w:ascii="仿宋_GB2312" w:hAnsi="仿宋_GB2312" w:eastAsia="仿宋_GB2312" w:cs="仿宋_GB2312"/>
                <w:bCs/>
                <w:szCs w:val="21"/>
                <w:lang w:val="en-US" w:eastAsia="zh-CN"/>
              </w:rPr>
              <w:t>交货地点</w:t>
            </w:r>
            <w:r>
              <w:rPr>
                <w:rFonts w:hint="eastAsia" w:ascii="仿宋_GB2312" w:hAnsi="仿宋_GB2312" w:eastAsia="仿宋_GB2312" w:cs="仿宋_GB2312"/>
                <w:bCs/>
                <w:szCs w:val="21"/>
              </w:rPr>
              <w:t>，并承担设备的包装、仓储、运输、保险、装卸、安装调试、培训（须同时提供培训视频文件，视频文件包括但不限于使用、保养、校准、质控等内容）、商检、保修期届满前备品备件等与采购设备及服务相关的所有含税费用。</w:t>
            </w:r>
          </w:p>
        </w:tc>
      </w:tr>
      <w:tr w14:paraId="497AF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123" w:type="dxa"/>
            <w:vMerge w:val="continue"/>
            <w:tcBorders>
              <w:top w:val="single" w:color="auto" w:sz="4" w:space="0"/>
              <w:left w:val="single" w:color="auto" w:sz="4" w:space="0"/>
              <w:bottom w:val="single" w:color="auto" w:sz="4" w:space="0"/>
              <w:right w:val="single" w:color="auto" w:sz="4" w:space="0"/>
            </w:tcBorders>
            <w:vAlign w:val="center"/>
          </w:tcPr>
          <w:p w14:paraId="23BAE65D">
            <w:pPr>
              <w:widowControl/>
              <w:spacing w:line="340" w:lineRule="exact"/>
              <w:jc w:val="left"/>
              <w:rPr>
                <w:rFonts w:ascii="仿宋_GB2312" w:hAnsi="仿宋_GB2312" w:eastAsia="仿宋_GB2312" w:cs="仿宋_GB2312"/>
                <w:bCs/>
                <w:szCs w:val="21"/>
              </w:rPr>
            </w:pPr>
          </w:p>
        </w:tc>
        <w:tc>
          <w:tcPr>
            <w:tcW w:w="1757" w:type="dxa"/>
            <w:vMerge w:val="continue"/>
            <w:tcBorders>
              <w:top w:val="single" w:color="auto" w:sz="4" w:space="0"/>
              <w:left w:val="single" w:color="auto" w:sz="4" w:space="0"/>
              <w:bottom w:val="single" w:color="auto" w:sz="4" w:space="0"/>
              <w:right w:val="single" w:color="auto" w:sz="4" w:space="0"/>
            </w:tcBorders>
            <w:vAlign w:val="center"/>
          </w:tcPr>
          <w:p w14:paraId="580029C6">
            <w:pPr>
              <w:widowControl/>
              <w:spacing w:line="340" w:lineRule="exact"/>
              <w:jc w:val="center"/>
              <w:rPr>
                <w:rFonts w:ascii="仿宋_GB2312" w:hAnsi="仿宋_GB2312" w:eastAsia="仿宋_GB2312" w:cs="仿宋_GB2312"/>
                <w:szCs w:val="21"/>
              </w:rPr>
            </w:pPr>
          </w:p>
        </w:tc>
        <w:tc>
          <w:tcPr>
            <w:tcW w:w="5940" w:type="dxa"/>
            <w:tcBorders>
              <w:top w:val="single" w:color="auto" w:sz="4" w:space="0"/>
              <w:left w:val="single" w:color="auto" w:sz="4" w:space="0"/>
              <w:bottom w:val="single" w:color="auto" w:sz="4" w:space="0"/>
              <w:right w:val="single" w:color="auto" w:sz="4" w:space="0"/>
            </w:tcBorders>
          </w:tcPr>
          <w:p w14:paraId="51FB7836">
            <w:pPr>
              <w:spacing w:line="340" w:lineRule="exact"/>
              <w:jc w:val="left"/>
              <w:rPr>
                <w:rFonts w:hint="eastAsia" w:ascii="仿宋_GB2312" w:hAnsi="仿宋_GB2312" w:eastAsia="仿宋_GB2312" w:cs="仿宋_GB2312"/>
                <w:bCs/>
                <w:szCs w:val="21"/>
                <w:lang w:eastAsia="zh-CN"/>
              </w:rPr>
            </w:pPr>
            <w:r>
              <w:rPr>
                <w:rFonts w:hint="eastAsia" w:ascii="仿宋_GB2312" w:hAnsi="仿宋_GB2312" w:eastAsia="仿宋_GB2312" w:cs="仿宋_GB2312"/>
                <w:bCs/>
                <w:szCs w:val="21"/>
                <w:lang w:val="en-US" w:eastAsia="zh-CN"/>
              </w:rPr>
              <w:t xml:space="preserve">1.3 </w:t>
            </w:r>
            <w:r>
              <w:rPr>
                <w:rFonts w:hint="eastAsia" w:ascii="仿宋_GB2312" w:hAnsi="仿宋_GB2312" w:eastAsia="仿宋_GB2312" w:cs="仿宋_GB2312"/>
                <w:bCs/>
                <w:szCs w:val="21"/>
                <w:lang w:eastAsia="zh-CN"/>
              </w:rPr>
              <w:t>中标人</w:t>
            </w:r>
            <w:r>
              <w:rPr>
                <w:rFonts w:hint="eastAsia" w:ascii="仿宋_GB2312" w:hAnsi="仿宋_GB2312" w:eastAsia="仿宋_GB2312" w:cs="仿宋_GB2312"/>
                <w:bCs/>
                <w:szCs w:val="21"/>
              </w:rPr>
              <w:t>应指定交货人员，并在交货时一并提供交货清单以及全套、完整的纸质版或电子版技术文件，包括设备配置清单、产品说明书（操作、安装、保养等内容）、质量保证文件、服务指南等，所有外文资料须提供中文译本。如为大型设备安装需提供安装图纸，视频培训资料需一并提供。文件应随货物一并交付给</w:t>
            </w:r>
            <w:r>
              <w:rPr>
                <w:rFonts w:hint="eastAsia" w:ascii="仿宋_GB2312" w:hAnsi="仿宋_GB2312" w:eastAsia="仿宋_GB2312" w:cs="仿宋_GB2312"/>
                <w:bCs/>
                <w:szCs w:val="21"/>
                <w:lang w:eastAsia="zh-CN"/>
              </w:rPr>
              <w:t>采购人</w:t>
            </w:r>
            <w:r>
              <w:rPr>
                <w:rFonts w:hint="eastAsia" w:ascii="仿宋_GB2312" w:hAnsi="仿宋_GB2312" w:eastAsia="仿宋_GB2312" w:cs="仿宋_GB2312"/>
                <w:bCs/>
                <w:szCs w:val="21"/>
              </w:rPr>
              <w:t>指定的验收人员，按照临床要求提供塑封便于悬挂的操作规程及注意事项。如涉及维修密码及更换配件密码，需提供给</w:t>
            </w:r>
            <w:r>
              <w:rPr>
                <w:rFonts w:hint="eastAsia" w:ascii="仿宋_GB2312" w:hAnsi="仿宋_GB2312" w:eastAsia="仿宋_GB2312" w:cs="仿宋_GB2312"/>
                <w:bCs/>
                <w:szCs w:val="21"/>
                <w:lang w:eastAsia="zh-CN"/>
              </w:rPr>
              <w:t>采购人</w:t>
            </w:r>
            <w:r>
              <w:rPr>
                <w:rFonts w:hint="eastAsia" w:ascii="仿宋_GB2312" w:hAnsi="仿宋_GB2312" w:eastAsia="仿宋_GB2312" w:cs="仿宋_GB2312"/>
                <w:bCs/>
                <w:szCs w:val="21"/>
              </w:rPr>
              <w:t>指定的验收人员。</w:t>
            </w:r>
          </w:p>
        </w:tc>
      </w:tr>
      <w:tr w14:paraId="44254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123" w:type="dxa"/>
            <w:vMerge w:val="continue"/>
            <w:tcBorders>
              <w:top w:val="single" w:color="auto" w:sz="4" w:space="0"/>
              <w:left w:val="single" w:color="auto" w:sz="4" w:space="0"/>
              <w:bottom w:val="single" w:color="auto" w:sz="4" w:space="0"/>
              <w:right w:val="single" w:color="auto" w:sz="4" w:space="0"/>
            </w:tcBorders>
            <w:vAlign w:val="center"/>
          </w:tcPr>
          <w:p w14:paraId="4E50DB55">
            <w:pPr>
              <w:widowControl/>
              <w:spacing w:line="340" w:lineRule="exact"/>
              <w:jc w:val="left"/>
              <w:rPr>
                <w:rFonts w:ascii="仿宋_GB2312" w:hAnsi="仿宋_GB2312" w:eastAsia="仿宋_GB2312" w:cs="仿宋_GB2312"/>
                <w:bCs/>
                <w:szCs w:val="21"/>
              </w:rPr>
            </w:pPr>
          </w:p>
        </w:tc>
        <w:tc>
          <w:tcPr>
            <w:tcW w:w="1757" w:type="dxa"/>
            <w:vMerge w:val="continue"/>
            <w:tcBorders>
              <w:top w:val="single" w:color="auto" w:sz="4" w:space="0"/>
              <w:left w:val="single" w:color="auto" w:sz="4" w:space="0"/>
              <w:bottom w:val="single" w:color="auto" w:sz="4" w:space="0"/>
              <w:right w:val="single" w:color="auto" w:sz="4" w:space="0"/>
            </w:tcBorders>
            <w:vAlign w:val="center"/>
          </w:tcPr>
          <w:p w14:paraId="1D17BD9D">
            <w:pPr>
              <w:widowControl/>
              <w:spacing w:line="340" w:lineRule="exact"/>
              <w:jc w:val="center"/>
              <w:rPr>
                <w:rFonts w:ascii="仿宋_GB2312" w:hAnsi="仿宋_GB2312" w:eastAsia="仿宋_GB2312" w:cs="仿宋_GB2312"/>
                <w:szCs w:val="21"/>
              </w:rPr>
            </w:pPr>
          </w:p>
        </w:tc>
        <w:tc>
          <w:tcPr>
            <w:tcW w:w="5940" w:type="dxa"/>
            <w:tcBorders>
              <w:top w:val="single" w:color="auto" w:sz="4" w:space="0"/>
              <w:left w:val="single" w:color="auto" w:sz="4" w:space="0"/>
              <w:bottom w:val="single" w:color="auto" w:sz="4" w:space="0"/>
              <w:right w:val="single" w:color="auto" w:sz="4" w:space="0"/>
            </w:tcBorders>
          </w:tcPr>
          <w:p w14:paraId="0FBDB51F">
            <w:pPr>
              <w:spacing w:line="340" w:lineRule="exact"/>
              <w:jc w:val="left"/>
              <w:rPr>
                <w:rFonts w:hint="eastAsia" w:ascii="仿宋_GB2312" w:hAnsi="仿宋_GB2312" w:eastAsia="仿宋_GB2312" w:cs="仿宋_GB2312"/>
                <w:bCs/>
                <w:szCs w:val="21"/>
                <w:lang w:val="en-US" w:eastAsia="zh-CN"/>
              </w:rPr>
            </w:pPr>
            <w:r>
              <w:rPr>
                <w:rFonts w:hint="eastAsia" w:ascii="仿宋_GB2312" w:hAnsi="仿宋_GB2312" w:eastAsia="仿宋_GB2312" w:cs="仿宋_GB2312"/>
                <w:bCs/>
                <w:szCs w:val="21"/>
                <w:lang w:val="en-US" w:eastAsia="zh-CN"/>
              </w:rPr>
              <w:t>1.4中标人供货时须确保设备外观清洁，标记编号以及盘面显示等字体清晰、明确，能够准确无误地表示设备的型号、规格、制造商等，中标人须保证所提供的设备的可追溯性。</w:t>
            </w:r>
          </w:p>
        </w:tc>
      </w:tr>
      <w:tr w14:paraId="0DC44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123" w:type="dxa"/>
            <w:vMerge w:val="continue"/>
            <w:tcBorders>
              <w:top w:val="single" w:color="auto" w:sz="4" w:space="0"/>
              <w:left w:val="single" w:color="auto" w:sz="4" w:space="0"/>
              <w:bottom w:val="single" w:color="auto" w:sz="4" w:space="0"/>
              <w:right w:val="single" w:color="auto" w:sz="4" w:space="0"/>
            </w:tcBorders>
            <w:vAlign w:val="center"/>
          </w:tcPr>
          <w:p w14:paraId="549F2921">
            <w:pPr>
              <w:widowControl/>
              <w:spacing w:line="340" w:lineRule="exact"/>
              <w:jc w:val="left"/>
              <w:rPr>
                <w:rFonts w:ascii="仿宋_GB2312" w:hAnsi="仿宋_GB2312" w:eastAsia="仿宋_GB2312" w:cs="仿宋_GB2312"/>
                <w:bCs/>
                <w:szCs w:val="21"/>
              </w:rPr>
            </w:pPr>
          </w:p>
        </w:tc>
        <w:tc>
          <w:tcPr>
            <w:tcW w:w="1757" w:type="dxa"/>
            <w:vMerge w:val="continue"/>
            <w:tcBorders>
              <w:top w:val="single" w:color="auto" w:sz="4" w:space="0"/>
              <w:left w:val="single" w:color="auto" w:sz="4" w:space="0"/>
              <w:bottom w:val="single" w:color="auto" w:sz="4" w:space="0"/>
              <w:right w:val="single" w:color="auto" w:sz="4" w:space="0"/>
            </w:tcBorders>
            <w:vAlign w:val="center"/>
          </w:tcPr>
          <w:p w14:paraId="529653BA">
            <w:pPr>
              <w:widowControl/>
              <w:spacing w:line="340" w:lineRule="exact"/>
              <w:jc w:val="center"/>
              <w:rPr>
                <w:rFonts w:ascii="仿宋_GB2312" w:hAnsi="仿宋_GB2312" w:eastAsia="仿宋_GB2312" w:cs="仿宋_GB2312"/>
                <w:szCs w:val="21"/>
              </w:rPr>
            </w:pPr>
          </w:p>
        </w:tc>
        <w:tc>
          <w:tcPr>
            <w:tcW w:w="5940" w:type="dxa"/>
            <w:tcBorders>
              <w:top w:val="single" w:color="auto" w:sz="4" w:space="0"/>
              <w:left w:val="single" w:color="auto" w:sz="4" w:space="0"/>
              <w:bottom w:val="single" w:color="auto" w:sz="4" w:space="0"/>
              <w:right w:val="single" w:color="auto" w:sz="4" w:space="0"/>
            </w:tcBorders>
          </w:tcPr>
          <w:p w14:paraId="641153ED">
            <w:pPr>
              <w:spacing w:line="340" w:lineRule="exact"/>
              <w:jc w:val="left"/>
              <w:rPr>
                <w:rFonts w:hint="eastAsia" w:ascii="仿宋_GB2312" w:hAnsi="仿宋_GB2312" w:eastAsia="仿宋_GB2312" w:cs="仿宋_GB2312"/>
                <w:bCs/>
                <w:szCs w:val="21"/>
                <w:lang w:val="en-US" w:eastAsia="zh-CN"/>
              </w:rPr>
            </w:pPr>
            <w:r>
              <w:rPr>
                <w:rFonts w:hint="eastAsia" w:ascii="仿宋_GB2312" w:hAnsi="仿宋_GB2312" w:eastAsia="仿宋_GB2312" w:cs="仿宋_GB2312"/>
                <w:bCs/>
                <w:szCs w:val="21"/>
                <w:lang w:val="en-US" w:eastAsia="zh-CN"/>
              </w:rPr>
              <w:t>1.5中标人提供的设备包装应符合法律法规以及国家相关行业标准。中标人应确保设备安全、卫生、包装完好无损地运交采购人。非因采购人原因，对于在运输和销售过程中有破损或不符合本招标文件约定的包装，采购人有权拒收，中标人应予全部退换，否则由此造成的一切损失及费用由中标人承担。</w:t>
            </w:r>
          </w:p>
        </w:tc>
      </w:tr>
      <w:tr w14:paraId="08504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123" w:type="dxa"/>
            <w:vMerge w:val="continue"/>
            <w:tcBorders>
              <w:top w:val="single" w:color="auto" w:sz="4" w:space="0"/>
              <w:left w:val="single" w:color="auto" w:sz="4" w:space="0"/>
              <w:bottom w:val="single" w:color="auto" w:sz="4" w:space="0"/>
              <w:right w:val="single" w:color="auto" w:sz="4" w:space="0"/>
            </w:tcBorders>
            <w:vAlign w:val="center"/>
          </w:tcPr>
          <w:p w14:paraId="74F9146C">
            <w:pPr>
              <w:widowControl/>
              <w:spacing w:line="340" w:lineRule="exact"/>
              <w:jc w:val="left"/>
              <w:rPr>
                <w:rFonts w:ascii="仿宋_GB2312" w:hAnsi="仿宋_GB2312" w:eastAsia="仿宋_GB2312" w:cs="仿宋_GB2312"/>
                <w:bCs/>
                <w:szCs w:val="21"/>
              </w:rPr>
            </w:pPr>
          </w:p>
        </w:tc>
        <w:tc>
          <w:tcPr>
            <w:tcW w:w="1757" w:type="dxa"/>
            <w:vMerge w:val="continue"/>
            <w:tcBorders>
              <w:top w:val="single" w:color="auto" w:sz="4" w:space="0"/>
              <w:left w:val="single" w:color="auto" w:sz="4" w:space="0"/>
              <w:bottom w:val="single" w:color="auto" w:sz="4" w:space="0"/>
              <w:right w:val="single" w:color="auto" w:sz="4" w:space="0"/>
            </w:tcBorders>
            <w:vAlign w:val="center"/>
          </w:tcPr>
          <w:p w14:paraId="01D05AEC">
            <w:pPr>
              <w:widowControl/>
              <w:spacing w:line="340" w:lineRule="exact"/>
              <w:jc w:val="center"/>
              <w:rPr>
                <w:rFonts w:ascii="仿宋_GB2312" w:hAnsi="仿宋_GB2312" w:eastAsia="仿宋_GB2312" w:cs="仿宋_GB2312"/>
                <w:szCs w:val="21"/>
              </w:rPr>
            </w:pPr>
          </w:p>
        </w:tc>
        <w:tc>
          <w:tcPr>
            <w:tcW w:w="5940" w:type="dxa"/>
            <w:tcBorders>
              <w:top w:val="single" w:color="auto" w:sz="4" w:space="0"/>
              <w:left w:val="single" w:color="auto" w:sz="4" w:space="0"/>
              <w:bottom w:val="single" w:color="auto" w:sz="4" w:space="0"/>
              <w:right w:val="single" w:color="auto" w:sz="4" w:space="0"/>
            </w:tcBorders>
          </w:tcPr>
          <w:p w14:paraId="67D4A991">
            <w:pPr>
              <w:spacing w:line="340" w:lineRule="exact"/>
              <w:jc w:val="left"/>
              <w:rPr>
                <w:rFonts w:hint="default" w:ascii="仿宋_GB2312" w:hAnsi="仿宋_GB2312" w:eastAsia="仿宋_GB2312" w:cs="仿宋_GB2312"/>
                <w:bCs/>
                <w:szCs w:val="21"/>
                <w:lang w:val="en-US" w:eastAsia="zh-CN"/>
              </w:rPr>
            </w:pPr>
            <w:r>
              <w:rPr>
                <w:rFonts w:hint="eastAsia" w:ascii="仿宋_GB2312" w:hAnsi="仿宋_GB2312" w:eastAsia="仿宋_GB2312" w:cs="仿宋_GB2312"/>
                <w:bCs/>
                <w:szCs w:val="21"/>
                <w:lang w:val="en-US" w:eastAsia="zh-CN"/>
              </w:rPr>
              <w:t>1.6货物运输过程中直至采购人签收前发生的货物灭失、损毁等一切风险均由中标人承担。</w:t>
            </w:r>
          </w:p>
        </w:tc>
      </w:tr>
      <w:tr w14:paraId="6384E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123" w:type="dxa"/>
            <w:vMerge w:val="restart"/>
            <w:tcBorders>
              <w:top w:val="single" w:color="auto" w:sz="4" w:space="0"/>
              <w:left w:val="single" w:color="auto" w:sz="4" w:space="0"/>
              <w:bottom w:val="single" w:color="auto" w:sz="4" w:space="0"/>
              <w:right w:val="single" w:color="auto" w:sz="4" w:space="0"/>
            </w:tcBorders>
            <w:vAlign w:val="center"/>
          </w:tcPr>
          <w:p w14:paraId="1B82AC99">
            <w:pPr>
              <w:spacing w:line="340" w:lineRule="exact"/>
              <w:jc w:val="both"/>
              <w:rPr>
                <w:rFonts w:hint="eastAsia" w:ascii="仿宋_GB2312" w:hAnsi="仿宋_GB2312" w:eastAsia="仿宋_GB2312" w:cs="仿宋_GB2312"/>
                <w:bCs/>
                <w:szCs w:val="21"/>
              </w:rPr>
            </w:pPr>
          </w:p>
          <w:p w14:paraId="75FDDA3D">
            <w:pPr>
              <w:spacing w:line="340" w:lineRule="exact"/>
              <w:jc w:val="center"/>
              <w:rPr>
                <w:rFonts w:hint="eastAsia" w:ascii="仿宋_GB2312" w:hAnsi="仿宋_GB2312" w:eastAsia="仿宋_GB2312" w:cs="仿宋_GB2312"/>
                <w:bCs/>
                <w:szCs w:val="21"/>
              </w:rPr>
            </w:pPr>
          </w:p>
          <w:p w14:paraId="024AD24D">
            <w:pPr>
              <w:spacing w:line="3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2</w:t>
            </w:r>
          </w:p>
        </w:tc>
        <w:tc>
          <w:tcPr>
            <w:tcW w:w="1757" w:type="dxa"/>
            <w:vMerge w:val="restart"/>
            <w:tcBorders>
              <w:top w:val="single" w:color="auto" w:sz="4" w:space="0"/>
              <w:left w:val="single" w:color="auto" w:sz="4" w:space="0"/>
              <w:bottom w:val="single" w:color="auto" w:sz="4" w:space="0"/>
              <w:right w:val="single" w:color="auto" w:sz="4" w:space="0"/>
            </w:tcBorders>
            <w:vAlign w:val="center"/>
          </w:tcPr>
          <w:p w14:paraId="56733AC7">
            <w:pPr>
              <w:spacing w:line="340" w:lineRule="exact"/>
              <w:jc w:val="center"/>
              <w:rPr>
                <w:rFonts w:hint="eastAsia" w:ascii="仿宋_GB2312" w:hAnsi="仿宋_GB2312" w:eastAsia="仿宋_GB2312" w:cs="仿宋_GB2312"/>
                <w:szCs w:val="21"/>
              </w:rPr>
            </w:pPr>
          </w:p>
          <w:p w14:paraId="691F3C7E">
            <w:pPr>
              <w:spacing w:line="340" w:lineRule="exact"/>
              <w:jc w:val="center"/>
              <w:rPr>
                <w:rFonts w:hint="eastAsia" w:ascii="仿宋_GB2312" w:hAnsi="仿宋_GB2312" w:eastAsia="仿宋_GB2312" w:cs="仿宋_GB2312"/>
                <w:szCs w:val="21"/>
              </w:rPr>
            </w:pPr>
          </w:p>
          <w:p w14:paraId="5D1DF4F6">
            <w:pPr>
              <w:spacing w:line="340" w:lineRule="exact"/>
              <w:jc w:val="center"/>
              <w:rPr>
                <w:rFonts w:ascii="仿宋_GB2312" w:hAnsi="仿宋_GB2312" w:eastAsia="仿宋_GB2312" w:cs="仿宋_GB2312"/>
                <w:szCs w:val="21"/>
              </w:rPr>
            </w:pPr>
            <w:r>
              <w:rPr>
                <w:rFonts w:hint="eastAsia" w:ascii="仿宋_GB2312" w:hAnsi="仿宋_GB2312" w:eastAsia="仿宋_GB2312" w:cs="仿宋_GB2312"/>
                <w:szCs w:val="21"/>
              </w:rPr>
              <w:t>安装调试及验收</w:t>
            </w:r>
          </w:p>
        </w:tc>
        <w:tc>
          <w:tcPr>
            <w:tcW w:w="5940" w:type="dxa"/>
            <w:tcBorders>
              <w:top w:val="single" w:color="auto" w:sz="4" w:space="0"/>
              <w:left w:val="single" w:color="auto" w:sz="4" w:space="0"/>
              <w:bottom w:val="single" w:color="auto" w:sz="4" w:space="0"/>
              <w:right w:val="single" w:color="auto" w:sz="4" w:space="0"/>
            </w:tcBorders>
          </w:tcPr>
          <w:p w14:paraId="52052635">
            <w:pPr>
              <w:spacing w:line="340" w:lineRule="exact"/>
              <w:jc w:val="left"/>
              <w:rPr>
                <w:rFonts w:hint="eastAsia" w:ascii="仿宋_GB2312" w:hAnsi="仿宋_GB2312" w:eastAsia="仿宋_GB2312" w:cs="仿宋_GB2312"/>
                <w:bCs/>
                <w:szCs w:val="21"/>
              </w:rPr>
            </w:pPr>
            <w:r>
              <w:rPr>
                <w:rFonts w:hint="eastAsia" w:ascii="仿宋_GB2312" w:hAnsi="仿宋_GB2312" w:eastAsia="仿宋_GB2312" w:cs="仿宋_GB2312"/>
                <w:bCs/>
                <w:szCs w:val="21"/>
              </w:rPr>
              <w:t>2.1</w:t>
            </w:r>
            <w:r>
              <w:rPr>
                <w:rFonts w:hint="eastAsia" w:ascii="仿宋_GB2312" w:hAnsi="仿宋_GB2312" w:eastAsia="仿宋_GB2312" w:cs="仿宋_GB2312"/>
                <w:bCs/>
                <w:szCs w:val="21"/>
                <w:lang w:val="en-US" w:eastAsia="zh-CN"/>
              </w:rPr>
              <w:t xml:space="preserve"> 中标人</w:t>
            </w:r>
            <w:r>
              <w:rPr>
                <w:rFonts w:hint="eastAsia" w:ascii="仿宋_GB2312" w:hAnsi="仿宋_GB2312" w:eastAsia="仿宋_GB2312" w:cs="仿宋_GB2312"/>
                <w:bCs/>
                <w:szCs w:val="21"/>
              </w:rPr>
              <w:t>提供免费安装服务，设备安装服务应由厂家工程师完成，以确保安装质量。</w:t>
            </w:r>
            <w:r>
              <w:rPr>
                <w:rFonts w:hint="eastAsia" w:ascii="仿宋_GB2312" w:hAnsi="仿宋_GB2312" w:eastAsia="仿宋_GB2312" w:cs="仿宋_GB2312"/>
                <w:bCs/>
                <w:szCs w:val="21"/>
                <w:lang w:val="en-US" w:eastAsia="zh-CN"/>
              </w:rPr>
              <w:t>中标人</w:t>
            </w:r>
            <w:r>
              <w:rPr>
                <w:rFonts w:hint="eastAsia" w:ascii="仿宋_GB2312" w:hAnsi="仿宋_GB2312" w:eastAsia="仿宋_GB2312" w:cs="仿宋_GB2312"/>
                <w:bCs/>
                <w:szCs w:val="21"/>
              </w:rPr>
              <w:t>和厂家应在货物运至指定地点后，按照</w:t>
            </w:r>
            <w:r>
              <w:rPr>
                <w:rFonts w:hint="eastAsia" w:ascii="仿宋_GB2312" w:hAnsi="仿宋_GB2312" w:eastAsia="仿宋_GB2312" w:cs="仿宋_GB2312"/>
                <w:bCs/>
                <w:szCs w:val="21"/>
                <w:lang w:val="en-US" w:eastAsia="zh-CN"/>
              </w:rPr>
              <w:t>采购人</w:t>
            </w:r>
            <w:r>
              <w:rPr>
                <w:rFonts w:hint="eastAsia" w:ascii="仿宋_GB2312" w:hAnsi="仿宋_GB2312" w:eastAsia="仿宋_GB2312" w:cs="仿宋_GB2312"/>
                <w:bCs/>
                <w:szCs w:val="21"/>
              </w:rPr>
              <w:t>指定时间完成安装、调试。</w:t>
            </w:r>
          </w:p>
        </w:tc>
      </w:tr>
      <w:tr w14:paraId="139EA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123" w:type="dxa"/>
            <w:vMerge w:val="continue"/>
            <w:tcBorders>
              <w:top w:val="single" w:color="auto" w:sz="4" w:space="0"/>
              <w:left w:val="single" w:color="auto" w:sz="4" w:space="0"/>
              <w:bottom w:val="single" w:color="auto" w:sz="4" w:space="0"/>
              <w:right w:val="single" w:color="auto" w:sz="4" w:space="0"/>
            </w:tcBorders>
            <w:vAlign w:val="center"/>
          </w:tcPr>
          <w:p w14:paraId="727BDF73">
            <w:pPr>
              <w:widowControl/>
              <w:spacing w:line="340" w:lineRule="exact"/>
              <w:jc w:val="left"/>
              <w:rPr>
                <w:rFonts w:ascii="仿宋_GB2312" w:hAnsi="仿宋_GB2312" w:eastAsia="仿宋_GB2312" w:cs="仿宋_GB2312"/>
                <w:bCs/>
                <w:szCs w:val="21"/>
              </w:rPr>
            </w:pPr>
          </w:p>
        </w:tc>
        <w:tc>
          <w:tcPr>
            <w:tcW w:w="1757" w:type="dxa"/>
            <w:vMerge w:val="continue"/>
            <w:tcBorders>
              <w:top w:val="single" w:color="auto" w:sz="4" w:space="0"/>
              <w:left w:val="single" w:color="auto" w:sz="4" w:space="0"/>
              <w:bottom w:val="single" w:color="auto" w:sz="4" w:space="0"/>
              <w:right w:val="single" w:color="auto" w:sz="4" w:space="0"/>
            </w:tcBorders>
            <w:vAlign w:val="center"/>
          </w:tcPr>
          <w:p w14:paraId="12362469">
            <w:pPr>
              <w:widowControl/>
              <w:spacing w:line="340" w:lineRule="exact"/>
              <w:jc w:val="center"/>
              <w:rPr>
                <w:rFonts w:ascii="仿宋_GB2312" w:hAnsi="仿宋_GB2312" w:eastAsia="仿宋_GB2312" w:cs="仿宋_GB2312"/>
                <w:szCs w:val="21"/>
              </w:rPr>
            </w:pPr>
          </w:p>
        </w:tc>
        <w:tc>
          <w:tcPr>
            <w:tcW w:w="5940" w:type="dxa"/>
            <w:tcBorders>
              <w:top w:val="single" w:color="auto" w:sz="4" w:space="0"/>
              <w:left w:val="single" w:color="auto" w:sz="4" w:space="0"/>
              <w:bottom w:val="single" w:color="auto" w:sz="4" w:space="0"/>
              <w:right w:val="single" w:color="auto" w:sz="4" w:space="0"/>
            </w:tcBorders>
          </w:tcPr>
          <w:p w14:paraId="741BBA83">
            <w:pPr>
              <w:spacing w:line="340" w:lineRule="exact"/>
              <w:jc w:val="left"/>
              <w:rPr>
                <w:rFonts w:ascii="仿宋_GB2312" w:hAnsi="仿宋_GB2312" w:eastAsia="仿宋_GB2312" w:cs="仿宋_GB2312"/>
                <w:bCs/>
                <w:szCs w:val="21"/>
              </w:rPr>
            </w:pPr>
            <w:r>
              <w:rPr>
                <w:rFonts w:hint="eastAsia" w:ascii="仿宋_GB2312" w:hAnsi="仿宋_GB2312" w:eastAsia="仿宋_GB2312" w:cs="仿宋_GB2312"/>
                <w:bCs/>
                <w:szCs w:val="21"/>
              </w:rPr>
              <w:t>2.2</w:t>
            </w:r>
            <w:r>
              <w:rPr>
                <w:rFonts w:hint="eastAsia" w:ascii="仿宋_GB2312" w:hAnsi="仿宋_GB2312" w:eastAsia="仿宋_GB2312" w:cs="仿宋_GB2312"/>
                <w:bCs/>
                <w:szCs w:val="21"/>
                <w:lang w:val="en-US" w:eastAsia="zh-CN"/>
              </w:rPr>
              <w:t xml:space="preserve"> </w:t>
            </w:r>
            <w:r>
              <w:rPr>
                <w:rFonts w:hint="eastAsia" w:ascii="仿宋_GB2312" w:hAnsi="仿宋_GB2312" w:eastAsia="仿宋_GB2312" w:cs="仿宋_GB2312"/>
                <w:bCs/>
                <w:szCs w:val="21"/>
              </w:rPr>
              <w:t>货物收到后，</w:t>
            </w:r>
            <w:r>
              <w:rPr>
                <w:rFonts w:hint="eastAsia" w:ascii="仿宋_GB2312" w:hAnsi="仿宋_GB2312" w:eastAsia="仿宋_GB2312" w:cs="仿宋_GB2312"/>
                <w:bCs/>
                <w:szCs w:val="21"/>
                <w:lang w:val="en-US" w:eastAsia="zh-CN"/>
              </w:rPr>
              <w:t>采购人</w:t>
            </w:r>
            <w:r>
              <w:rPr>
                <w:rFonts w:hint="eastAsia" w:ascii="仿宋_GB2312" w:hAnsi="仿宋_GB2312" w:eastAsia="仿宋_GB2312" w:cs="仿宋_GB2312"/>
                <w:bCs/>
                <w:szCs w:val="21"/>
              </w:rPr>
              <w:t>按合同和招标、投标文件约定的要求和标准及中华人民共和国现行的验收规范和评定标准进行交货验收</w:t>
            </w:r>
            <w:r>
              <w:rPr>
                <w:rFonts w:hint="eastAsia" w:ascii="仿宋_GB2312" w:hAnsi="仿宋_GB2312" w:eastAsia="仿宋_GB2312" w:cs="仿宋_GB2312"/>
                <w:bCs/>
                <w:szCs w:val="21"/>
                <w:lang w:eastAsia="zh-CN"/>
              </w:rPr>
              <w:t>。</w:t>
            </w:r>
            <w:r>
              <w:rPr>
                <w:rFonts w:hint="eastAsia" w:ascii="仿宋_GB2312" w:hAnsi="仿宋_GB2312" w:eastAsia="仿宋_GB2312" w:cs="仿宋_GB2312"/>
                <w:bCs/>
                <w:szCs w:val="21"/>
                <w:lang w:val="en-US" w:eastAsia="zh-CN"/>
              </w:rPr>
              <w:t>采购人</w:t>
            </w:r>
            <w:r>
              <w:rPr>
                <w:rFonts w:hint="eastAsia" w:ascii="仿宋_GB2312" w:hAnsi="仿宋_GB2312" w:eastAsia="仿宋_GB2312" w:cs="仿宋_GB2312"/>
                <w:bCs/>
                <w:szCs w:val="21"/>
                <w:lang w:eastAsia="zh-CN"/>
              </w:rPr>
              <w:t>有权通知</w:t>
            </w:r>
            <w:r>
              <w:rPr>
                <w:rFonts w:hint="eastAsia" w:ascii="仿宋_GB2312" w:hAnsi="仿宋_GB2312" w:eastAsia="仿宋_GB2312" w:cs="仿宋_GB2312"/>
                <w:bCs/>
                <w:szCs w:val="21"/>
                <w:lang w:val="en-US" w:eastAsia="zh-CN"/>
              </w:rPr>
              <w:t>中标人</w:t>
            </w:r>
            <w:r>
              <w:rPr>
                <w:rFonts w:hint="eastAsia" w:ascii="仿宋_GB2312" w:hAnsi="仿宋_GB2312" w:eastAsia="仿宋_GB2312" w:cs="仿宋_GB2312"/>
                <w:bCs/>
                <w:szCs w:val="21"/>
                <w:lang w:eastAsia="zh-CN"/>
              </w:rPr>
              <w:t>按照规定时间到场参与共同验收，经双方检验认可后，签署验收报告。</w:t>
            </w:r>
          </w:p>
        </w:tc>
      </w:tr>
      <w:tr w14:paraId="0F9C1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123" w:type="dxa"/>
            <w:vMerge w:val="continue"/>
            <w:tcBorders>
              <w:top w:val="single" w:color="auto" w:sz="4" w:space="0"/>
              <w:left w:val="single" w:color="auto" w:sz="4" w:space="0"/>
              <w:bottom w:val="single" w:color="auto" w:sz="4" w:space="0"/>
              <w:right w:val="single" w:color="auto" w:sz="4" w:space="0"/>
            </w:tcBorders>
            <w:vAlign w:val="center"/>
          </w:tcPr>
          <w:p w14:paraId="61C45FFA">
            <w:pPr>
              <w:widowControl/>
              <w:spacing w:line="340" w:lineRule="exact"/>
              <w:jc w:val="left"/>
              <w:rPr>
                <w:rFonts w:ascii="仿宋_GB2312" w:hAnsi="仿宋_GB2312" w:eastAsia="仿宋_GB2312" w:cs="仿宋_GB2312"/>
                <w:bCs/>
                <w:szCs w:val="21"/>
              </w:rPr>
            </w:pPr>
          </w:p>
        </w:tc>
        <w:tc>
          <w:tcPr>
            <w:tcW w:w="1757" w:type="dxa"/>
            <w:vMerge w:val="continue"/>
            <w:tcBorders>
              <w:top w:val="single" w:color="auto" w:sz="4" w:space="0"/>
              <w:left w:val="single" w:color="auto" w:sz="4" w:space="0"/>
              <w:bottom w:val="single" w:color="auto" w:sz="4" w:space="0"/>
              <w:right w:val="single" w:color="auto" w:sz="4" w:space="0"/>
            </w:tcBorders>
            <w:vAlign w:val="center"/>
          </w:tcPr>
          <w:p w14:paraId="6443F0A2">
            <w:pPr>
              <w:widowControl/>
              <w:spacing w:line="340" w:lineRule="exact"/>
              <w:jc w:val="center"/>
              <w:rPr>
                <w:rFonts w:ascii="仿宋_GB2312" w:hAnsi="仿宋_GB2312" w:eastAsia="仿宋_GB2312" w:cs="仿宋_GB2312"/>
                <w:szCs w:val="21"/>
              </w:rPr>
            </w:pPr>
          </w:p>
        </w:tc>
        <w:tc>
          <w:tcPr>
            <w:tcW w:w="5940" w:type="dxa"/>
            <w:tcBorders>
              <w:top w:val="single" w:color="auto" w:sz="4" w:space="0"/>
              <w:left w:val="single" w:color="auto" w:sz="4" w:space="0"/>
              <w:bottom w:val="single" w:color="auto" w:sz="4" w:space="0"/>
              <w:right w:val="single" w:color="auto" w:sz="4" w:space="0"/>
            </w:tcBorders>
          </w:tcPr>
          <w:p w14:paraId="618319AC">
            <w:pPr>
              <w:spacing w:line="340" w:lineRule="exact"/>
              <w:jc w:val="left"/>
              <w:rPr>
                <w:rFonts w:ascii="仿宋_GB2312" w:hAnsi="仿宋_GB2312" w:eastAsia="仿宋_GB2312" w:cs="仿宋_GB2312"/>
                <w:bCs/>
                <w:szCs w:val="21"/>
              </w:rPr>
            </w:pPr>
            <w:r>
              <w:rPr>
                <w:rFonts w:hint="eastAsia" w:ascii="仿宋_GB2312" w:hAnsi="仿宋_GB2312" w:eastAsia="仿宋_GB2312" w:cs="仿宋_GB2312"/>
                <w:bCs/>
                <w:szCs w:val="21"/>
              </w:rPr>
              <w:t xml:space="preserve">2.3 </w:t>
            </w:r>
            <w:r>
              <w:rPr>
                <w:rFonts w:hint="eastAsia" w:ascii="仿宋_GB2312" w:hAnsi="仿宋_GB2312" w:eastAsia="仿宋_GB2312" w:cs="仿宋_GB2312"/>
                <w:bCs/>
                <w:szCs w:val="21"/>
                <w:lang w:val="en-US" w:eastAsia="zh-CN"/>
              </w:rPr>
              <w:t>中</w:t>
            </w:r>
            <w:r>
              <w:rPr>
                <w:rFonts w:hint="eastAsia" w:ascii="仿宋_GB2312" w:hAnsi="仿宋_GB2312" w:eastAsia="仿宋_GB2312" w:cs="仿宋_GB2312"/>
                <w:bCs/>
                <w:szCs w:val="21"/>
              </w:rPr>
              <w:t>标人货物经过双方检验认可后，签署验收报告，产品保修期自最终验收合格并交付使用之日起计算，由投标人提供产品保修文件。</w:t>
            </w:r>
          </w:p>
        </w:tc>
      </w:tr>
      <w:tr w14:paraId="7292A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123" w:type="dxa"/>
            <w:vMerge w:val="continue"/>
            <w:tcBorders>
              <w:top w:val="single" w:color="auto" w:sz="4" w:space="0"/>
              <w:left w:val="single" w:color="auto" w:sz="4" w:space="0"/>
              <w:bottom w:val="single" w:color="auto" w:sz="4" w:space="0"/>
              <w:right w:val="single" w:color="auto" w:sz="4" w:space="0"/>
            </w:tcBorders>
            <w:vAlign w:val="center"/>
          </w:tcPr>
          <w:p w14:paraId="1F5B2F20">
            <w:pPr>
              <w:widowControl/>
              <w:spacing w:line="340" w:lineRule="exact"/>
              <w:jc w:val="left"/>
              <w:rPr>
                <w:rFonts w:ascii="仿宋_GB2312" w:hAnsi="仿宋_GB2312" w:eastAsia="仿宋_GB2312" w:cs="仿宋_GB2312"/>
                <w:bCs/>
                <w:szCs w:val="21"/>
              </w:rPr>
            </w:pPr>
          </w:p>
        </w:tc>
        <w:tc>
          <w:tcPr>
            <w:tcW w:w="1757" w:type="dxa"/>
            <w:vMerge w:val="continue"/>
            <w:tcBorders>
              <w:top w:val="single" w:color="auto" w:sz="4" w:space="0"/>
              <w:left w:val="single" w:color="auto" w:sz="4" w:space="0"/>
              <w:bottom w:val="single" w:color="auto" w:sz="4" w:space="0"/>
              <w:right w:val="single" w:color="auto" w:sz="4" w:space="0"/>
            </w:tcBorders>
            <w:vAlign w:val="center"/>
          </w:tcPr>
          <w:p w14:paraId="1FD13E1B">
            <w:pPr>
              <w:widowControl/>
              <w:spacing w:line="340" w:lineRule="exact"/>
              <w:jc w:val="center"/>
              <w:rPr>
                <w:rFonts w:ascii="仿宋_GB2312" w:hAnsi="仿宋_GB2312" w:eastAsia="仿宋_GB2312" w:cs="仿宋_GB2312"/>
                <w:szCs w:val="21"/>
              </w:rPr>
            </w:pPr>
          </w:p>
        </w:tc>
        <w:tc>
          <w:tcPr>
            <w:tcW w:w="5940" w:type="dxa"/>
            <w:tcBorders>
              <w:top w:val="single" w:color="auto" w:sz="4" w:space="0"/>
              <w:left w:val="single" w:color="auto" w:sz="4" w:space="0"/>
              <w:bottom w:val="single" w:color="auto" w:sz="4" w:space="0"/>
              <w:right w:val="single" w:color="auto" w:sz="4" w:space="0"/>
            </w:tcBorders>
          </w:tcPr>
          <w:p w14:paraId="467A2499">
            <w:pPr>
              <w:spacing w:line="340" w:lineRule="exact"/>
              <w:jc w:val="left"/>
              <w:rPr>
                <w:rFonts w:hint="default" w:ascii="仿宋_GB2312" w:hAnsi="仿宋_GB2312" w:eastAsia="仿宋_GB2312" w:cs="仿宋_GB2312"/>
                <w:bCs/>
                <w:szCs w:val="21"/>
                <w:lang w:val="en-US" w:eastAsia="zh-CN"/>
              </w:rPr>
            </w:pPr>
            <w:r>
              <w:rPr>
                <w:rFonts w:hint="eastAsia" w:ascii="仿宋_GB2312" w:hAnsi="仿宋_GB2312" w:eastAsia="仿宋_GB2312" w:cs="仿宋_GB2312"/>
                <w:bCs/>
                <w:szCs w:val="21"/>
                <w:lang w:val="en-US" w:eastAsia="zh-CN"/>
              </w:rPr>
              <w:t xml:space="preserve">2.4 </w:t>
            </w:r>
            <w:r>
              <w:rPr>
                <w:rFonts w:hint="eastAsia" w:ascii="仿宋_GB2312" w:hAnsi="仿宋_GB2312" w:eastAsia="仿宋_GB2312" w:cs="仿宋_GB2312"/>
                <w:bCs/>
                <w:szCs w:val="21"/>
              </w:rPr>
              <w:t>验收过程中，</w:t>
            </w:r>
            <w:r>
              <w:rPr>
                <w:rFonts w:hint="eastAsia" w:ascii="仿宋_GB2312" w:hAnsi="仿宋_GB2312" w:eastAsia="仿宋_GB2312" w:cs="仿宋_GB2312"/>
                <w:bCs/>
                <w:szCs w:val="21"/>
                <w:lang w:val="en-US" w:eastAsia="zh-CN"/>
              </w:rPr>
              <w:t>采购人</w:t>
            </w:r>
            <w:r>
              <w:rPr>
                <w:rFonts w:hint="eastAsia" w:ascii="仿宋_GB2312" w:hAnsi="仿宋_GB2312" w:eastAsia="仿宋_GB2312" w:cs="仿宋_GB2312"/>
                <w:bCs/>
                <w:szCs w:val="21"/>
              </w:rPr>
              <w:t>有权委托有资质的检测机构检验或测试货物，以确认货物是否符合招投标文件和合同要求，所产生的检测费用由</w:t>
            </w:r>
            <w:r>
              <w:rPr>
                <w:rFonts w:hint="eastAsia" w:ascii="仿宋_GB2312" w:hAnsi="仿宋_GB2312" w:eastAsia="仿宋_GB2312" w:cs="仿宋_GB2312"/>
                <w:bCs/>
                <w:szCs w:val="21"/>
                <w:lang w:val="en-US" w:eastAsia="zh-CN"/>
              </w:rPr>
              <w:t>中标人</w:t>
            </w:r>
            <w:r>
              <w:rPr>
                <w:rFonts w:hint="eastAsia" w:ascii="仿宋_GB2312" w:hAnsi="仿宋_GB2312" w:eastAsia="仿宋_GB2312" w:cs="仿宋_GB2312"/>
                <w:bCs/>
                <w:szCs w:val="21"/>
              </w:rPr>
              <w:t>预先支付，如检测不合格的，费用由</w:t>
            </w:r>
            <w:r>
              <w:rPr>
                <w:rFonts w:hint="eastAsia" w:ascii="仿宋_GB2312" w:hAnsi="仿宋_GB2312" w:eastAsia="仿宋_GB2312" w:cs="仿宋_GB2312"/>
                <w:bCs/>
                <w:szCs w:val="21"/>
                <w:lang w:val="en-US" w:eastAsia="zh-CN"/>
              </w:rPr>
              <w:t>中标人</w:t>
            </w:r>
            <w:r>
              <w:rPr>
                <w:rFonts w:hint="eastAsia" w:ascii="仿宋_GB2312" w:hAnsi="仿宋_GB2312" w:eastAsia="仿宋_GB2312" w:cs="仿宋_GB2312"/>
                <w:bCs/>
                <w:szCs w:val="21"/>
              </w:rPr>
              <w:t>承担并承担验收不合格的责任；如检测合格的，费用由</w:t>
            </w:r>
            <w:r>
              <w:rPr>
                <w:rFonts w:hint="eastAsia" w:ascii="仿宋_GB2312" w:hAnsi="仿宋_GB2312" w:eastAsia="仿宋_GB2312" w:cs="仿宋_GB2312"/>
                <w:bCs/>
                <w:szCs w:val="21"/>
                <w:lang w:val="en-US" w:eastAsia="zh-CN"/>
              </w:rPr>
              <w:t>采购人</w:t>
            </w:r>
            <w:r>
              <w:rPr>
                <w:rFonts w:hint="eastAsia" w:ascii="仿宋_GB2312" w:hAnsi="仿宋_GB2312" w:eastAsia="仿宋_GB2312" w:cs="仿宋_GB2312"/>
                <w:bCs/>
                <w:szCs w:val="21"/>
              </w:rPr>
              <w:t>承担。如果发现所交货物不符合要求，存在质量、技术缺陷等问题，包括潜在的缺陷或使用不符合要求的材料的，</w:t>
            </w:r>
            <w:r>
              <w:rPr>
                <w:rFonts w:hint="eastAsia" w:ascii="仿宋_GB2312" w:hAnsi="仿宋_GB2312" w:eastAsia="仿宋_GB2312" w:cs="仿宋_GB2312"/>
                <w:bCs/>
                <w:szCs w:val="21"/>
                <w:lang w:val="en-US" w:eastAsia="zh-CN"/>
              </w:rPr>
              <w:t>采购人</w:t>
            </w:r>
            <w:r>
              <w:rPr>
                <w:rFonts w:hint="eastAsia" w:ascii="仿宋_GB2312" w:hAnsi="仿宋_GB2312" w:eastAsia="仿宋_GB2312" w:cs="仿宋_GB2312"/>
                <w:bCs/>
                <w:szCs w:val="21"/>
              </w:rPr>
              <w:t>可以拒绝接收该货物，</w:t>
            </w:r>
            <w:r>
              <w:rPr>
                <w:rFonts w:hint="eastAsia" w:ascii="仿宋_GB2312" w:hAnsi="仿宋_GB2312" w:eastAsia="仿宋_GB2312" w:cs="仿宋_GB2312"/>
                <w:bCs/>
                <w:szCs w:val="21"/>
                <w:lang w:val="en-US" w:eastAsia="zh-CN"/>
              </w:rPr>
              <w:t>中标人</w:t>
            </w:r>
            <w:r>
              <w:rPr>
                <w:rFonts w:hint="eastAsia" w:ascii="仿宋_GB2312" w:hAnsi="仿宋_GB2312" w:eastAsia="仿宋_GB2312" w:cs="仿宋_GB2312"/>
                <w:bCs/>
                <w:szCs w:val="21"/>
              </w:rPr>
              <w:t>应在30日内采取更换与合同要求相符的货物，由此发生的一切损失和费用由</w:t>
            </w:r>
            <w:r>
              <w:rPr>
                <w:rFonts w:hint="eastAsia" w:ascii="仿宋_GB2312" w:hAnsi="仿宋_GB2312" w:eastAsia="仿宋_GB2312" w:cs="仿宋_GB2312"/>
                <w:bCs/>
                <w:szCs w:val="21"/>
                <w:lang w:val="en-US" w:eastAsia="zh-CN"/>
              </w:rPr>
              <w:t>中标人</w:t>
            </w:r>
            <w:r>
              <w:rPr>
                <w:rFonts w:hint="eastAsia" w:ascii="仿宋_GB2312" w:hAnsi="仿宋_GB2312" w:eastAsia="仿宋_GB2312" w:cs="仿宋_GB2312"/>
                <w:bCs/>
                <w:szCs w:val="21"/>
              </w:rPr>
              <w:t>承担，逾期未更换或更换货物仍不合格的，</w:t>
            </w:r>
            <w:r>
              <w:rPr>
                <w:rFonts w:hint="eastAsia" w:ascii="仿宋_GB2312" w:hAnsi="仿宋_GB2312" w:eastAsia="仿宋_GB2312" w:cs="仿宋_GB2312"/>
                <w:bCs/>
                <w:szCs w:val="21"/>
                <w:lang w:val="en-US" w:eastAsia="zh-CN"/>
              </w:rPr>
              <w:t>采购人</w:t>
            </w:r>
            <w:r>
              <w:rPr>
                <w:rFonts w:hint="eastAsia" w:ascii="仿宋_GB2312" w:hAnsi="仿宋_GB2312" w:eastAsia="仿宋_GB2312" w:cs="仿宋_GB2312"/>
                <w:bCs/>
                <w:szCs w:val="21"/>
              </w:rPr>
              <w:t>有权</w:t>
            </w:r>
            <w:r>
              <w:rPr>
                <w:rFonts w:hint="eastAsia" w:ascii="仿宋_GB2312" w:hAnsi="仿宋_GB2312" w:eastAsia="仿宋_GB2312" w:cs="仿宋_GB2312"/>
                <w:bCs/>
                <w:szCs w:val="21"/>
                <w:lang w:eastAsia="zh-CN"/>
              </w:rPr>
              <w:t>做</w:t>
            </w:r>
            <w:r>
              <w:rPr>
                <w:rFonts w:hint="eastAsia" w:ascii="仿宋_GB2312" w:hAnsi="仿宋_GB2312" w:eastAsia="仿宋_GB2312" w:cs="仿宋_GB2312"/>
                <w:bCs/>
                <w:szCs w:val="21"/>
              </w:rPr>
              <w:t>验收不合格处理。</w:t>
            </w:r>
          </w:p>
        </w:tc>
      </w:tr>
      <w:tr w14:paraId="14254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123" w:type="dxa"/>
            <w:vMerge w:val="continue"/>
            <w:tcBorders>
              <w:top w:val="single" w:color="auto" w:sz="4" w:space="0"/>
              <w:left w:val="single" w:color="auto" w:sz="4" w:space="0"/>
              <w:bottom w:val="single" w:color="auto" w:sz="4" w:space="0"/>
              <w:right w:val="single" w:color="auto" w:sz="4" w:space="0"/>
            </w:tcBorders>
            <w:vAlign w:val="center"/>
          </w:tcPr>
          <w:p w14:paraId="4D886E75">
            <w:pPr>
              <w:widowControl/>
              <w:spacing w:line="340" w:lineRule="exact"/>
              <w:jc w:val="left"/>
              <w:rPr>
                <w:rFonts w:ascii="仿宋_GB2312" w:hAnsi="仿宋_GB2312" w:eastAsia="仿宋_GB2312" w:cs="仿宋_GB2312"/>
                <w:bCs/>
                <w:szCs w:val="21"/>
              </w:rPr>
            </w:pPr>
          </w:p>
        </w:tc>
        <w:tc>
          <w:tcPr>
            <w:tcW w:w="1757" w:type="dxa"/>
            <w:vMerge w:val="continue"/>
            <w:tcBorders>
              <w:top w:val="single" w:color="auto" w:sz="4" w:space="0"/>
              <w:left w:val="single" w:color="auto" w:sz="4" w:space="0"/>
              <w:bottom w:val="single" w:color="auto" w:sz="4" w:space="0"/>
              <w:right w:val="single" w:color="auto" w:sz="4" w:space="0"/>
            </w:tcBorders>
            <w:vAlign w:val="center"/>
          </w:tcPr>
          <w:p w14:paraId="05509E98">
            <w:pPr>
              <w:widowControl/>
              <w:spacing w:line="340" w:lineRule="exact"/>
              <w:jc w:val="center"/>
              <w:rPr>
                <w:rFonts w:ascii="仿宋_GB2312" w:hAnsi="仿宋_GB2312" w:eastAsia="仿宋_GB2312" w:cs="仿宋_GB2312"/>
                <w:szCs w:val="21"/>
              </w:rPr>
            </w:pPr>
          </w:p>
        </w:tc>
        <w:tc>
          <w:tcPr>
            <w:tcW w:w="5940" w:type="dxa"/>
            <w:tcBorders>
              <w:top w:val="single" w:color="auto" w:sz="4" w:space="0"/>
              <w:left w:val="single" w:color="auto" w:sz="4" w:space="0"/>
              <w:bottom w:val="single" w:color="auto" w:sz="4" w:space="0"/>
              <w:right w:val="single" w:color="auto" w:sz="4" w:space="0"/>
            </w:tcBorders>
          </w:tcPr>
          <w:p w14:paraId="5F72ACE2">
            <w:pPr>
              <w:pStyle w:val="6"/>
              <w:widowControl/>
              <w:tabs>
                <w:tab w:val="left" w:pos="7770"/>
                <w:tab w:val="left" w:pos="8400"/>
                <w:tab w:val="left" w:pos="8620"/>
                <w:tab w:val="left" w:pos="9040"/>
              </w:tabs>
              <w:kinsoku w:val="0"/>
              <w:autoSpaceDE w:val="0"/>
              <w:autoSpaceDN w:val="0"/>
              <w:adjustRightInd w:val="0"/>
              <w:snapToGrid w:val="0"/>
              <w:spacing w:line="340" w:lineRule="exact"/>
              <w:jc w:val="left"/>
              <w:textAlignment w:val="baseline"/>
              <w:rPr>
                <w:rFonts w:hint="eastAsia" w:ascii="仿宋_GB2312" w:hAnsi="仿宋_GB2312" w:eastAsia="仿宋_GB2312" w:cs="仿宋_GB2312"/>
                <w:bCs/>
                <w:szCs w:val="21"/>
                <w:lang w:val="en-US" w:eastAsia="zh-CN"/>
              </w:rPr>
            </w:pPr>
            <w:r>
              <w:rPr>
                <w:rFonts w:hint="eastAsia" w:ascii="仿宋_GB2312" w:hAnsi="仿宋_GB2312" w:eastAsia="仿宋_GB2312" w:cs="仿宋_GB2312"/>
                <w:b w:val="0"/>
                <w:color w:val="auto"/>
                <w:spacing w:val="0"/>
                <w:sz w:val="21"/>
                <w:szCs w:val="21"/>
                <w:lang w:val="en-US" w:eastAsia="zh-CN"/>
              </w:rPr>
              <w:t xml:space="preserve">2.5 </w:t>
            </w:r>
            <w:r>
              <w:rPr>
                <w:rFonts w:hint="eastAsia" w:ascii="仿宋_GB2312" w:hAnsi="仿宋_GB2312" w:eastAsia="仿宋_GB2312" w:cs="仿宋_GB2312"/>
                <w:b w:val="0"/>
                <w:color w:val="auto"/>
                <w:spacing w:val="0"/>
                <w:sz w:val="21"/>
                <w:szCs w:val="21"/>
                <w:lang w:eastAsia="zh-CN"/>
              </w:rPr>
              <w:t>放射类设备须委托</w:t>
            </w:r>
            <w:r>
              <w:rPr>
                <w:rFonts w:hint="eastAsia" w:ascii="仿宋_GB2312" w:hAnsi="仿宋_GB2312" w:eastAsia="仿宋_GB2312" w:cs="仿宋_GB2312"/>
                <w:b w:val="0"/>
                <w:color w:val="auto"/>
                <w:spacing w:val="0"/>
                <w:sz w:val="21"/>
                <w:szCs w:val="21"/>
                <w:lang w:val="en-US" w:eastAsia="zh-CN"/>
              </w:rPr>
              <w:t>采购人</w:t>
            </w:r>
            <w:r>
              <w:rPr>
                <w:rFonts w:hint="eastAsia" w:ascii="仿宋_GB2312" w:hAnsi="仿宋_GB2312" w:eastAsia="仿宋_GB2312" w:cs="仿宋_GB2312"/>
                <w:b w:val="0"/>
                <w:color w:val="auto"/>
                <w:spacing w:val="0"/>
                <w:sz w:val="21"/>
                <w:szCs w:val="21"/>
                <w:lang w:eastAsia="zh-CN"/>
              </w:rPr>
              <w:t>认可的有资质的检测公司，协助</w:t>
            </w:r>
            <w:r>
              <w:rPr>
                <w:rFonts w:hint="eastAsia" w:ascii="仿宋_GB2312" w:hAnsi="仿宋_GB2312" w:eastAsia="仿宋_GB2312" w:cs="仿宋_GB2312"/>
                <w:b w:val="0"/>
                <w:color w:val="auto"/>
                <w:spacing w:val="0"/>
                <w:sz w:val="21"/>
                <w:szCs w:val="21"/>
                <w:lang w:val="en-US" w:eastAsia="zh-CN"/>
              </w:rPr>
              <w:t>采购人</w:t>
            </w:r>
            <w:r>
              <w:rPr>
                <w:rFonts w:hint="eastAsia" w:ascii="仿宋_GB2312" w:hAnsi="仿宋_GB2312" w:eastAsia="仿宋_GB2312" w:cs="仿宋_GB2312"/>
                <w:b w:val="0"/>
                <w:color w:val="auto"/>
                <w:spacing w:val="0"/>
                <w:sz w:val="21"/>
                <w:szCs w:val="21"/>
                <w:lang w:eastAsia="zh-CN"/>
              </w:rPr>
              <w:t>完成项目预控评、辐射安全许可证以及放射诊疗许可证等相关工作（完成后交钥匙工程），由此产生的费用均由</w:t>
            </w:r>
            <w:r>
              <w:rPr>
                <w:rFonts w:hint="eastAsia" w:ascii="仿宋_GB2312" w:hAnsi="仿宋_GB2312" w:eastAsia="仿宋_GB2312" w:cs="仿宋_GB2312"/>
                <w:b w:val="0"/>
                <w:color w:val="auto"/>
                <w:spacing w:val="0"/>
                <w:sz w:val="21"/>
                <w:szCs w:val="21"/>
                <w:lang w:val="en-US" w:eastAsia="zh-CN"/>
              </w:rPr>
              <w:t>中标人</w:t>
            </w:r>
            <w:r>
              <w:rPr>
                <w:rFonts w:hint="eastAsia" w:ascii="仿宋_GB2312" w:hAnsi="仿宋_GB2312" w:eastAsia="仿宋_GB2312" w:cs="仿宋_GB2312"/>
                <w:b w:val="0"/>
                <w:color w:val="auto"/>
                <w:spacing w:val="0"/>
                <w:sz w:val="21"/>
                <w:szCs w:val="21"/>
                <w:lang w:eastAsia="zh-CN"/>
              </w:rPr>
              <w:t>承担</w:t>
            </w:r>
            <w:r>
              <w:rPr>
                <w:rFonts w:hint="eastAsia" w:ascii="仿宋_GB2312" w:hAnsi="仿宋_GB2312" w:eastAsia="仿宋_GB2312" w:cs="仿宋_GB2312"/>
                <w:b w:val="0"/>
                <w:spacing w:val="0"/>
                <w:sz w:val="21"/>
                <w:szCs w:val="21"/>
                <w:lang w:eastAsia="zh-CN"/>
              </w:rPr>
              <w:t>。</w:t>
            </w:r>
          </w:p>
        </w:tc>
      </w:tr>
      <w:tr w14:paraId="4CA83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123" w:type="dxa"/>
            <w:vMerge w:val="continue"/>
            <w:tcBorders>
              <w:top w:val="single" w:color="auto" w:sz="4" w:space="0"/>
              <w:left w:val="single" w:color="auto" w:sz="4" w:space="0"/>
              <w:bottom w:val="single" w:color="auto" w:sz="4" w:space="0"/>
              <w:right w:val="single" w:color="auto" w:sz="4" w:space="0"/>
            </w:tcBorders>
            <w:vAlign w:val="center"/>
          </w:tcPr>
          <w:p w14:paraId="7EC05F42">
            <w:pPr>
              <w:widowControl/>
              <w:spacing w:line="340" w:lineRule="exact"/>
              <w:jc w:val="left"/>
              <w:rPr>
                <w:rFonts w:ascii="仿宋_GB2312" w:hAnsi="仿宋_GB2312" w:eastAsia="仿宋_GB2312" w:cs="仿宋_GB2312"/>
                <w:bCs/>
                <w:szCs w:val="21"/>
              </w:rPr>
            </w:pPr>
          </w:p>
        </w:tc>
        <w:tc>
          <w:tcPr>
            <w:tcW w:w="1757" w:type="dxa"/>
            <w:vMerge w:val="continue"/>
            <w:tcBorders>
              <w:top w:val="single" w:color="auto" w:sz="4" w:space="0"/>
              <w:left w:val="single" w:color="auto" w:sz="4" w:space="0"/>
              <w:bottom w:val="single" w:color="auto" w:sz="4" w:space="0"/>
              <w:right w:val="single" w:color="auto" w:sz="4" w:space="0"/>
            </w:tcBorders>
            <w:vAlign w:val="center"/>
          </w:tcPr>
          <w:p w14:paraId="7722171E">
            <w:pPr>
              <w:widowControl/>
              <w:spacing w:line="340" w:lineRule="exact"/>
              <w:jc w:val="center"/>
              <w:rPr>
                <w:rFonts w:ascii="仿宋_GB2312" w:hAnsi="仿宋_GB2312" w:eastAsia="仿宋_GB2312" w:cs="仿宋_GB2312"/>
                <w:szCs w:val="21"/>
              </w:rPr>
            </w:pPr>
          </w:p>
        </w:tc>
        <w:tc>
          <w:tcPr>
            <w:tcW w:w="5940" w:type="dxa"/>
            <w:tcBorders>
              <w:top w:val="single" w:color="auto" w:sz="4" w:space="0"/>
              <w:left w:val="single" w:color="auto" w:sz="4" w:space="0"/>
              <w:bottom w:val="single" w:color="auto" w:sz="4" w:space="0"/>
              <w:right w:val="single" w:color="auto" w:sz="4" w:space="0"/>
            </w:tcBorders>
          </w:tcPr>
          <w:p w14:paraId="6C369184">
            <w:pPr>
              <w:spacing w:line="340" w:lineRule="exact"/>
              <w:jc w:val="left"/>
              <w:rPr>
                <w:rFonts w:hint="eastAsia" w:ascii="仿宋_GB2312" w:hAnsi="仿宋_GB2312" w:eastAsia="仿宋_GB2312" w:cs="仿宋_GB2312"/>
                <w:bCs/>
                <w:szCs w:val="21"/>
                <w:lang w:val="en-US" w:eastAsia="zh-CN"/>
              </w:rPr>
            </w:pPr>
            <w:r>
              <w:rPr>
                <w:rFonts w:hint="eastAsia" w:ascii="仿宋_GB2312" w:hAnsi="仿宋_GB2312" w:eastAsia="仿宋_GB2312" w:cs="仿宋_GB2312"/>
                <w:bCs/>
                <w:szCs w:val="21"/>
                <w:lang w:val="en-US" w:eastAsia="zh-CN"/>
              </w:rPr>
              <w:t xml:space="preserve">2.6 </w:t>
            </w:r>
            <w:r>
              <w:rPr>
                <w:rFonts w:hint="eastAsia" w:ascii="仿宋_GB2312" w:hAnsi="仿宋_GB2312" w:eastAsia="仿宋_GB2312" w:cs="仿宋_GB2312"/>
                <w:bCs/>
                <w:szCs w:val="21"/>
              </w:rPr>
              <w:t>设备为特种设备的，</w:t>
            </w:r>
            <w:r>
              <w:rPr>
                <w:rFonts w:hint="eastAsia" w:ascii="仿宋_GB2312" w:hAnsi="仿宋_GB2312" w:eastAsia="仿宋_GB2312" w:cs="仿宋_GB2312"/>
                <w:bCs/>
                <w:szCs w:val="21"/>
                <w:lang w:val="en-US" w:eastAsia="zh-CN"/>
              </w:rPr>
              <w:t>中标人</w:t>
            </w:r>
            <w:r>
              <w:rPr>
                <w:rFonts w:hint="eastAsia" w:ascii="仿宋_GB2312" w:hAnsi="仿宋_GB2312" w:eastAsia="仿宋_GB2312" w:cs="仿宋_GB2312"/>
                <w:bCs/>
                <w:szCs w:val="21"/>
              </w:rPr>
              <w:t>应免费提供相关特种检测部门出具的合格检测报告，并办理相应的特种设备使用登记证。</w:t>
            </w:r>
          </w:p>
        </w:tc>
      </w:tr>
      <w:tr w14:paraId="34E66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0" w:hRule="atLeast"/>
        </w:trPr>
        <w:tc>
          <w:tcPr>
            <w:tcW w:w="1123" w:type="dxa"/>
            <w:vMerge w:val="continue"/>
            <w:tcBorders>
              <w:top w:val="single" w:color="auto" w:sz="4" w:space="0"/>
              <w:left w:val="single" w:color="auto" w:sz="4" w:space="0"/>
              <w:bottom w:val="single" w:color="auto" w:sz="4" w:space="0"/>
              <w:right w:val="single" w:color="auto" w:sz="4" w:space="0"/>
            </w:tcBorders>
            <w:vAlign w:val="center"/>
          </w:tcPr>
          <w:p w14:paraId="46853973">
            <w:pPr>
              <w:widowControl/>
              <w:spacing w:line="340" w:lineRule="exact"/>
              <w:jc w:val="left"/>
              <w:rPr>
                <w:rFonts w:ascii="仿宋_GB2312" w:hAnsi="仿宋_GB2312" w:eastAsia="仿宋_GB2312" w:cs="仿宋_GB2312"/>
                <w:bCs/>
                <w:szCs w:val="21"/>
              </w:rPr>
            </w:pPr>
          </w:p>
        </w:tc>
        <w:tc>
          <w:tcPr>
            <w:tcW w:w="1757" w:type="dxa"/>
            <w:vMerge w:val="continue"/>
            <w:tcBorders>
              <w:top w:val="single" w:color="auto" w:sz="4" w:space="0"/>
              <w:left w:val="single" w:color="auto" w:sz="4" w:space="0"/>
              <w:bottom w:val="single" w:color="auto" w:sz="4" w:space="0"/>
              <w:right w:val="single" w:color="auto" w:sz="4" w:space="0"/>
            </w:tcBorders>
            <w:vAlign w:val="center"/>
          </w:tcPr>
          <w:p w14:paraId="77D28F78">
            <w:pPr>
              <w:widowControl/>
              <w:spacing w:line="340" w:lineRule="exact"/>
              <w:jc w:val="center"/>
              <w:rPr>
                <w:rFonts w:ascii="仿宋_GB2312" w:hAnsi="仿宋_GB2312" w:eastAsia="仿宋_GB2312" w:cs="仿宋_GB2312"/>
                <w:szCs w:val="21"/>
              </w:rPr>
            </w:pPr>
          </w:p>
        </w:tc>
        <w:tc>
          <w:tcPr>
            <w:tcW w:w="5940" w:type="dxa"/>
            <w:tcBorders>
              <w:top w:val="single" w:color="auto" w:sz="4" w:space="0"/>
              <w:left w:val="single" w:color="auto" w:sz="4" w:space="0"/>
              <w:bottom w:val="single" w:color="auto" w:sz="4" w:space="0"/>
              <w:right w:val="single" w:color="auto" w:sz="4" w:space="0"/>
            </w:tcBorders>
          </w:tcPr>
          <w:p w14:paraId="39CA1859">
            <w:pPr>
              <w:spacing w:line="340" w:lineRule="exact"/>
              <w:jc w:val="left"/>
              <w:rPr>
                <w:rFonts w:ascii="仿宋_GB2312" w:hAnsi="仿宋_GB2312" w:eastAsia="仿宋_GB2312" w:cs="仿宋_GB2312"/>
                <w:bCs/>
                <w:szCs w:val="21"/>
              </w:rPr>
            </w:pPr>
            <w:r>
              <w:rPr>
                <w:rFonts w:hint="eastAsia" w:ascii="仿宋_GB2312" w:hAnsi="仿宋_GB2312" w:eastAsia="仿宋_GB2312" w:cs="仿宋_GB2312"/>
                <w:color w:val="auto"/>
                <w:szCs w:val="21"/>
              </w:rPr>
              <w:t>★</w:t>
            </w:r>
            <w:r>
              <w:rPr>
                <w:rFonts w:hint="eastAsia" w:ascii="仿宋_GB2312" w:hAnsi="仿宋_GB2312" w:eastAsia="仿宋_GB2312" w:cs="仿宋_GB2312"/>
                <w:bCs/>
                <w:szCs w:val="21"/>
              </w:rPr>
              <w:t>2.</w:t>
            </w:r>
            <w:r>
              <w:rPr>
                <w:rFonts w:hint="eastAsia" w:ascii="仿宋_GB2312" w:hAnsi="仿宋_GB2312" w:eastAsia="仿宋_GB2312" w:cs="仿宋_GB2312"/>
                <w:bCs/>
                <w:szCs w:val="21"/>
                <w:lang w:val="en-US" w:eastAsia="zh-CN"/>
              </w:rPr>
              <w:t>7</w:t>
            </w:r>
            <w:r>
              <w:rPr>
                <w:rFonts w:hint="eastAsia" w:ascii="仿宋_GB2312" w:hAnsi="仿宋_GB2312" w:eastAsia="仿宋_GB2312" w:cs="仿宋_GB2312"/>
                <w:bCs/>
                <w:szCs w:val="21"/>
              </w:rPr>
              <w:t>当满足以下条件时，采购人才向中标人签发货物验收报告：</w:t>
            </w:r>
          </w:p>
          <w:p w14:paraId="0A08A175">
            <w:pPr>
              <w:spacing w:line="340" w:lineRule="exact"/>
              <w:jc w:val="left"/>
              <w:rPr>
                <w:rFonts w:ascii="仿宋_GB2312" w:hAnsi="仿宋_GB2312" w:eastAsia="仿宋_GB2312" w:cs="仿宋_GB2312"/>
                <w:bCs/>
                <w:szCs w:val="21"/>
              </w:rPr>
            </w:pPr>
            <w:r>
              <w:rPr>
                <w:rFonts w:hint="eastAsia" w:ascii="仿宋_GB2312" w:hAnsi="仿宋_GB2312" w:eastAsia="仿宋_GB2312" w:cs="仿宋_GB2312"/>
                <w:bCs/>
                <w:szCs w:val="21"/>
              </w:rPr>
              <w:t>（1）设备全新,外观无伤痕变形或明显修饰痕迹。</w:t>
            </w:r>
          </w:p>
          <w:p w14:paraId="037E8809">
            <w:pPr>
              <w:spacing w:line="340" w:lineRule="exact"/>
              <w:jc w:val="left"/>
              <w:rPr>
                <w:rFonts w:ascii="仿宋_GB2312" w:hAnsi="仿宋_GB2312" w:eastAsia="仿宋_GB2312" w:cs="仿宋_GB2312"/>
                <w:bCs/>
                <w:szCs w:val="21"/>
              </w:rPr>
            </w:pPr>
            <w:r>
              <w:rPr>
                <w:rFonts w:hint="eastAsia" w:ascii="仿宋_GB2312" w:hAnsi="仿宋_GB2312" w:eastAsia="仿宋_GB2312" w:cs="仿宋_GB2312"/>
                <w:bCs/>
                <w:szCs w:val="21"/>
              </w:rPr>
              <w:t>（2）如有国标，需符合有关规定；如无国标，则按照行业标准；如无国标及行业标准，则按双方约定执行。投标文件提供的技术数据经实测证实是真实的。检验及免费保修期内达到的性能指标与要求一致，达到或优于相应标准。</w:t>
            </w:r>
          </w:p>
          <w:p w14:paraId="7F9823F4">
            <w:pPr>
              <w:spacing w:line="340" w:lineRule="exact"/>
              <w:jc w:val="left"/>
              <w:rPr>
                <w:rFonts w:ascii="仿宋_GB2312" w:hAnsi="仿宋_GB2312" w:eastAsia="仿宋_GB2312" w:cs="仿宋_GB2312"/>
                <w:bCs/>
                <w:szCs w:val="21"/>
              </w:rPr>
            </w:pPr>
            <w:r>
              <w:rPr>
                <w:rFonts w:hint="eastAsia" w:ascii="仿宋_GB2312" w:hAnsi="仿宋_GB2312" w:eastAsia="仿宋_GB2312" w:cs="仿宋_GB2312"/>
                <w:bCs/>
                <w:szCs w:val="21"/>
              </w:rPr>
              <w:t>（3）技术文件资料、备件等已按规定数量移交完毕。</w:t>
            </w:r>
          </w:p>
          <w:p w14:paraId="2668A914">
            <w:pPr>
              <w:spacing w:line="340" w:lineRule="exact"/>
              <w:jc w:val="left"/>
              <w:rPr>
                <w:rFonts w:ascii="仿宋_GB2312" w:hAnsi="仿宋_GB2312" w:eastAsia="仿宋_GB2312" w:cs="仿宋_GB2312"/>
                <w:bCs/>
                <w:szCs w:val="21"/>
              </w:rPr>
            </w:pPr>
            <w:r>
              <w:rPr>
                <w:rFonts w:hint="eastAsia" w:ascii="仿宋_GB2312" w:hAnsi="仿宋_GB2312" w:eastAsia="仿宋_GB2312" w:cs="仿宋_GB2312"/>
                <w:bCs/>
                <w:szCs w:val="21"/>
              </w:rPr>
              <w:t>（4）按照招标</w:t>
            </w:r>
            <w:r>
              <w:rPr>
                <w:rFonts w:hint="eastAsia" w:ascii="Calibri" w:hAnsi="Calibri" w:eastAsia="仿宋_GB2312" w:cs="Calibri"/>
                <w:bCs/>
                <w:szCs w:val="21"/>
              </w:rPr>
              <w:t>文件</w:t>
            </w:r>
            <w:r>
              <w:rPr>
                <w:rFonts w:hint="eastAsia" w:ascii="仿宋_GB2312" w:hAnsi="仿宋_GB2312" w:eastAsia="仿宋_GB2312" w:cs="仿宋_GB2312"/>
                <w:bCs/>
                <w:szCs w:val="21"/>
              </w:rPr>
              <w:t>要求及投标文件提供的技术要求验收合格。</w:t>
            </w:r>
          </w:p>
          <w:p w14:paraId="4C642040">
            <w:pPr>
              <w:spacing w:line="340" w:lineRule="exact"/>
              <w:jc w:val="left"/>
              <w:rPr>
                <w:rFonts w:ascii="仿宋_GB2312" w:hAnsi="仿宋_GB2312" w:eastAsia="仿宋_GB2312" w:cs="仿宋_GB2312"/>
                <w:bCs/>
                <w:szCs w:val="21"/>
              </w:rPr>
            </w:pPr>
            <w:r>
              <w:rPr>
                <w:rFonts w:hint="eastAsia" w:ascii="仿宋_GB2312" w:hAnsi="仿宋_GB2312" w:eastAsia="仿宋_GB2312" w:cs="仿宋_GB2312"/>
                <w:bCs/>
                <w:szCs w:val="21"/>
              </w:rPr>
              <w:t>（5）投标人提供的各种文件载明的内容应保证真实，其技术数据采购人有权要求投标人提供采购人认可的第三方按照双方同意的试验方法进行检测。检测结果需证明投标人提供的技术数据是真实的，否则视为不合格。</w:t>
            </w:r>
          </w:p>
          <w:p w14:paraId="3899A0B0">
            <w:pPr>
              <w:spacing w:line="340" w:lineRule="exact"/>
              <w:jc w:val="left"/>
              <w:rPr>
                <w:rFonts w:ascii="仿宋_GB2312" w:hAnsi="仿宋_GB2312" w:eastAsia="仿宋_GB2312" w:cs="仿宋_GB2312"/>
                <w:bCs/>
                <w:szCs w:val="21"/>
              </w:rPr>
            </w:pPr>
            <w:r>
              <w:rPr>
                <w:rFonts w:hint="eastAsia" w:ascii="仿宋_GB2312" w:hAnsi="仿宋_GB2312" w:eastAsia="仿宋_GB2312" w:cs="仿宋_GB2312"/>
                <w:bCs/>
                <w:szCs w:val="21"/>
              </w:rPr>
              <w:t>（6）货物具备产品合格证。</w:t>
            </w:r>
          </w:p>
          <w:p w14:paraId="25FF66E4">
            <w:pPr>
              <w:spacing w:line="340" w:lineRule="exact"/>
              <w:jc w:val="left"/>
              <w:rPr>
                <w:rFonts w:ascii="仿宋_GB2312" w:hAnsi="仿宋_GB2312" w:eastAsia="仿宋_GB2312" w:cs="仿宋_GB2312"/>
                <w:bCs/>
                <w:szCs w:val="21"/>
              </w:rPr>
            </w:pPr>
            <w:r>
              <w:rPr>
                <w:rFonts w:hint="eastAsia" w:ascii="仿宋_GB2312" w:hAnsi="仿宋_GB2312" w:eastAsia="仿宋_GB2312" w:cs="仿宋_GB2312"/>
                <w:bCs/>
                <w:szCs w:val="21"/>
              </w:rPr>
              <w:t>（</w:t>
            </w:r>
            <w:r>
              <w:rPr>
                <w:rFonts w:hint="eastAsia" w:ascii="仿宋_GB2312" w:hAnsi="仿宋_GB2312" w:eastAsia="仿宋_GB2312" w:cs="仿宋_GB2312"/>
                <w:bCs/>
                <w:sz w:val="21"/>
                <w:szCs w:val="21"/>
              </w:rPr>
              <w:t>7</w:t>
            </w:r>
            <w:r>
              <w:rPr>
                <w:rFonts w:hint="eastAsia" w:ascii="仿宋_GB2312" w:hAnsi="仿宋_GB2312" w:eastAsia="仿宋_GB2312" w:cs="仿宋_GB2312"/>
                <w:bCs/>
                <w:szCs w:val="21"/>
              </w:rPr>
              <w:t>）在货物安装调试合格后，所有技术指标达到技术规范书要求，经验收合格后，双方共同签署验收报告。</w:t>
            </w:r>
          </w:p>
        </w:tc>
      </w:tr>
      <w:tr w14:paraId="4A863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123" w:type="dxa"/>
            <w:vMerge w:val="restart"/>
            <w:tcBorders>
              <w:top w:val="single" w:color="auto" w:sz="4" w:space="0"/>
              <w:left w:val="single" w:color="auto" w:sz="4" w:space="0"/>
              <w:bottom w:val="single" w:color="auto" w:sz="4" w:space="0"/>
              <w:right w:val="single" w:color="auto" w:sz="4" w:space="0"/>
            </w:tcBorders>
            <w:vAlign w:val="center"/>
          </w:tcPr>
          <w:p w14:paraId="2125B160">
            <w:pPr>
              <w:spacing w:line="340" w:lineRule="exact"/>
              <w:jc w:val="center"/>
              <w:rPr>
                <w:rFonts w:hint="eastAsia" w:ascii="仿宋_GB2312" w:hAnsi="仿宋_GB2312" w:eastAsia="仿宋_GB2312" w:cs="仿宋_GB2312"/>
                <w:bCs/>
                <w:szCs w:val="21"/>
              </w:rPr>
            </w:pPr>
          </w:p>
          <w:p w14:paraId="7B1804FE">
            <w:pPr>
              <w:spacing w:line="340" w:lineRule="exact"/>
              <w:jc w:val="center"/>
              <w:rPr>
                <w:rFonts w:hint="eastAsia" w:ascii="仿宋_GB2312" w:hAnsi="仿宋_GB2312" w:eastAsia="仿宋_GB2312" w:cs="仿宋_GB2312"/>
                <w:bCs/>
                <w:szCs w:val="21"/>
              </w:rPr>
            </w:pPr>
          </w:p>
          <w:p w14:paraId="6346C1BA">
            <w:pPr>
              <w:spacing w:line="340" w:lineRule="exact"/>
              <w:jc w:val="center"/>
              <w:rPr>
                <w:rFonts w:hint="eastAsia" w:ascii="仿宋_GB2312" w:hAnsi="仿宋_GB2312" w:eastAsia="仿宋_GB2312" w:cs="仿宋_GB2312"/>
                <w:bCs/>
                <w:szCs w:val="21"/>
              </w:rPr>
            </w:pPr>
          </w:p>
          <w:p w14:paraId="64F60ADF">
            <w:pPr>
              <w:spacing w:line="340" w:lineRule="exact"/>
              <w:jc w:val="center"/>
              <w:rPr>
                <w:rFonts w:hint="eastAsia" w:ascii="仿宋_GB2312" w:hAnsi="仿宋_GB2312" w:eastAsia="仿宋_GB2312" w:cs="仿宋_GB2312"/>
                <w:bCs/>
                <w:szCs w:val="21"/>
              </w:rPr>
            </w:pPr>
          </w:p>
          <w:p w14:paraId="3068549D">
            <w:pPr>
              <w:spacing w:line="340" w:lineRule="exact"/>
              <w:jc w:val="center"/>
              <w:rPr>
                <w:rFonts w:hint="eastAsia" w:ascii="仿宋_GB2312" w:hAnsi="仿宋_GB2312" w:eastAsia="仿宋_GB2312" w:cs="仿宋_GB2312"/>
                <w:bCs/>
                <w:szCs w:val="21"/>
              </w:rPr>
            </w:pPr>
          </w:p>
          <w:p w14:paraId="179E2FAE">
            <w:pPr>
              <w:spacing w:line="340" w:lineRule="exact"/>
              <w:jc w:val="center"/>
              <w:rPr>
                <w:rFonts w:hint="eastAsia" w:ascii="仿宋_GB2312" w:hAnsi="仿宋_GB2312" w:eastAsia="仿宋_GB2312" w:cs="仿宋_GB2312"/>
                <w:bCs/>
                <w:szCs w:val="21"/>
              </w:rPr>
            </w:pPr>
          </w:p>
          <w:p w14:paraId="77F431F4">
            <w:pPr>
              <w:spacing w:line="340" w:lineRule="exact"/>
              <w:jc w:val="center"/>
              <w:rPr>
                <w:rFonts w:hint="eastAsia" w:ascii="仿宋_GB2312" w:hAnsi="仿宋_GB2312" w:eastAsia="仿宋_GB2312" w:cs="仿宋_GB2312"/>
                <w:bCs/>
                <w:szCs w:val="21"/>
              </w:rPr>
            </w:pPr>
          </w:p>
          <w:p w14:paraId="79D2F9CF">
            <w:pPr>
              <w:spacing w:line="340" w:lineRule="exact"/>
              <w:jc w:val="center"/>
              <w:rPr>
                <w:rFonts w:hint="eastAsia" w:ascii="仿宋_GB2312" w:hAnsi="仿宋_GB2312" w:eastAsia="仿宋_GB2312" w:cs="仿宋_GB2312"/>
                <w:bCs/>
                <w:szCs w:val="21"/>
              </w:rPr>
            </w:pPr>
          </w:p>
          <w:p w14:paraId="546FD4CF">
            <w:pPr>
              <w:spacing w:line="340" w:lineRule="exact"/>
              <w:jc w:val="center"/>
              <w:rPr>
                <w:rFonts w:hint="eastAsia" w:ascii="仿宋_GB2312" w:hAnsi="仿宋_GB2312" w:eastAsia="仿宋_GB2312" w:cs="仿宋_GB2312"/>
                <w:bCs/>
                <w:szCs w:val="21"/>
              </w:rPr>
            </w:pPr>
          </w:p>
          <w:p w14:paraId="14D2456F">
            <w:pPr>
              <w:spacing w:line="340" w:lineRule="exact"/>
              <w:jc w:val="center"/>
              <w:rPr>
                <w:rFonts w:hint="eastAsia" w:ascii="仿宋_GB2312" w:hAnsi="仿宋_GB2312" w:eastAsia="仿宋_GB2312" w:cs="仿宋_GB2312"/>
                <w:bCs/>
                <w:szCs w:val="21"/>
              </w:rPr>
            </w:pPr>
          </w:p>
          <w:p w14:paraId="3163CCB5">
            <w:pPr>
              <w:spacing w:line="340" w:lineRule="exact"/>
              <w:jc w:val="center"/>
              <w:rPr>
                <w:rFonts w:hint="eastAsia" w:ascii="仿宋_GB2312" w:hAnsi="仿宋_GB2312" w:eastAsia="仿宋_GB2312" w:cs="仿宋_GB2312"/>
                <w:bCs/>
                <w:szCs w:val="21"/>
              </w:rPr>
            </w:pPr>
          </w:p>
          <w:p w14:paraId="6C770312">
            <w:pPr>
              <w:spacing w:line="3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3</w:t>
            </w:r>
          </w:p>
        </w:tc>
        <w:tc>
          <w:tcPr>
            <w:tcW w:w="1757" w:type="dxa"/>
            <w:vMerge w:val="restart"/>
            <w:tcBorders>
              <w:top w:val="single" w:color="auto" w:sz="4" w:space="0"/>
              <w:left w:val="single" w:color="auto" w:sz="4" w:space="0"/>
              <w:bottom w:val="single" w:color="auto" w:sz="4" w:space="0"/>
              <w:right w:val="single" w:color="auto" w:sz="4" w:space="0"/>
            </w:tcBorders>
            <w:vAlign w:val="center"/>
          </w:tcPr>
          <w:p w14:paraId="187CF91F">
            <w:pPr>
              <w:spacing w:line="340" w:lineRule="exact"/>
              <w:jc w:val="center"/>
              <w:rPr>
                <w:rFonts w:hint="eastAsia" w:ascii="仿宋_GB2312" w:hAnsi="仿宋_GB2312" w:eastAsia="仿宋_GB2312" w:cs="仿宋_GB2312"/>
                <w:szCs w:val="21"/>
              </w:rPr>
            </w:pPr>
          </w:p>
          <w:p w14:paraId="593E9D36">
            <w:pPr>
              <w:spacing w:line="340" w:lineRule="exact"/>
              <w:jc w:val="center"/>
              <w:rPr>
                <w:rFonts w:hint="eastAsia" w:ascii="仿宋_GB2312" w:hAnsi="仿宋_GB2312" w:eastAsia="仿宋_GB2312" w:cs="仿宋_GB2312"/>
                <w:szCs w:val="21"/>
              </w:rPr>
            </w:pPr>
          </w:p>
          <w:p w14:paraId="57FBD606">
            <w:pPr>
              <w:spacing w:line="340" w:lineRule="exact"/>
              <w:jc w:val="center"/>
              <w:rPr>
                <w:rFonts w:hint="eastAsia" w:ascii="仿宋_GB2312" w:hAnsi="仿宋_GB2312" w:eastAsia="仿宋_GB2312" w:cs="仿宋_GB2312"/>
                <w:szCs w:val="21"/>
              </w:rPr>
            </w:pPr>
          </w:p>
          <w:p w14:paraId="53FF72D4">
            <w:pPr>
              <w:spacing w:line="340" w:lineRule="exact"/>
              <w:jc w:val="center"/>
              <w:rPr>
                <w:rFonts w:hint="eastAsia" w:ascii="仿宋_GB2312" w:hAnsi="仿宋_GB2312" w:eastAsia="仿宋_GB2312" w:cs="仿宋_GB2312"/>
                <w:szCs w:val="21"/>
              </w:rPr>
            </w:pPr>
          </w:p>
          <w:p w14:paraId="52FBA9F6">
            <w:pPr>
              <w:spacing w:line="340" w:lineRule="exact"/>
              <w:jc w:val="center"/>
              <w:rPr>
                <w:rFonts w:hint="eastAsia" w:ascii="仿宋_GB2312" w:hAnsi="仿宋_GB2312" w:eastAsia="仿宋_GB2312" w:cs="仿宋_GB2312"/>
                <w:szCs w:val="21"/>
              </w:rPr>
            </w:pPr>
          </w:p>
          <w:p w14:paraId="4A5E86BD">
            <w:pPr>
              <w:spacing w:line="340" w:lineRule="exact"/>
              <w:jc w:val="center"/>
              <w:rPr>
                <w:rFonts w:hint="eastAsia" w:ascii="仿宋_GB2312" w:hAnsi="仿宋_GB2312" w:eastAsia="仿宋_GB2312" w:cs="仿宋_GB2312"/>
                <w:szCs w:val="21"/>
              </w:rPr>
            </w:pPr>
          </w:p>
          <w:p w14:paraId="1CF8E665">
            <w:pPr>
              <w:spacing w:line="340" w:lineRule="exact"/>
              <w:jc w:val="center"/>
              <w:rPr>
                <w:rFonts w:hint="eastAsia" w:ascii="仿宋_GB2312" w:hAnsi="仿宋_GB2312" w:eastAsia="仿宋_GB2312" w:cs="仿宋_GB2312"/>
                <w:szCs w:val="21"/>
              </w:rPr>
            </w:pPr>
          </w:p>
          <w:p w14:paraId="359E66AE">
            <w:pPr>
              <w:spacing w:line="340" w:lineRule="exact"/>
              <w:jc w:val="center"/>
              <w:rPr>
                <w:rFonts w:hint="eastAsia" w:ascii="仿宋_GB2312" w:hAnsi="仿宋_GB2312" w:eastAsia="仿宋_GB2312" w:cs="仿宋_GB2312"/>
                <w:szCs w:val="21"/>
              </w:rPr>
            </w:pPr>
          </w:p>
          <w:p w14:paraId="1523C626">
            <w:pPr>
              <w:spacing w:line="340" w:lineRule="exact"/>
              <w:jc w:val="center"/>
              <w:rPr>
                <w:rFonts w:hint="eastAsia" w:ascii="仿宋_GB2312" w:hAnsi="仿宋_GB2312" w:eastAsia="仿宋_GB2312" w:cs="仿宋_GB2312"/>
                <w:szCs w:val="21"/>
              </w:rPr>
            </w:pPr>
          </w:p>
          <w:p w14:paraId="3261ACD3">
            <w:pPr>
              <w:spacing w:line="340" w:lineRule="exact"/>
              <w:jc w:val="center"/>
              <w:rPr>
                <w:rFonts w:hint="eastAsia" w:ascii="仿宋_GB2312" w:hAnsi="仿宋_GB2312" w:eastAsia="仿宋_GB2312" w:cs="仿宋_GB2312"/>
                <w:szCs w:val="21"/>
              </w:rPr>
            </w:pPr>
          </w:p>
          <w:p w14:paraId="7BFD827F">
            <w:pPr>
              <w:spacing w:line="340" w:lineRule="exact"/>
              <w:jc w:val="center"/>
              <w:rPr>
                <w:rFonts w:hint="eastAsia" w:ascii="仿宋_GB2312" w:hAnsi="仿宋_GB2312" w:eastAsia="仿宋_GB2312" w:cs="仿宋_GB2312"/>
                <w:szCs w:val="21"/>
              </w:rPr>
            </w:pPr>
          </w:p>
          <w:p w14:paraId="7727944C">
            <w:pPr>
              <w:spacing w:line="340" w:lineRule="exact"/>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color w:val="auto"/>
                <w:szCs w:val="21"/>
              </w:rPr>
              <w:t>★</w:t>
            </w:r>
            <w:r>
              <w:rPr>
                <w:rFonts w:hint="eastAsia" w:ascii="仿宋_GB2312" w:hAnsi="仿宋_GB2312" w:eastAsia="仿宋_GB2312" w:cs="仿宋_GB2312"/>
                <w:szCs w:val="21"/>
              </w:rPr>
              <w:t>违约</w:t>
            </w:r>
            <w:r>
              <w:rPr>
                <w:rFonts w:hint="eastAsia" w:ascii="仿宋_GB2312" w:hAnsi="仿宋_GB2312" w:eastAsia="仿宋_GB2312" w:cs="仿宋_GB2312"/>
                <w:szCs w:val="21"/>
                <w:lang w:val="en-US" w:eastAsia="zh-CN"/>
              </w:rPr>
              <w:t>责任</w:t>
            </w:r>
          </w:p>
        </w:tc>
        <w:tc>
          <w:tcPr>
            <w:tcW w:w="5940" w:type="dxa"/>
            <w:tcBorders>
              <w:top w:val="single" w:color="auto" w:sz="4" w:space="0"/>
              <w:left w:val="single" w:color="auto" w:sz="4" w:space="0"/>
              <w:bottom w:val="single" w:color="auto" w:sz="4" w:space="0"/>
              <w:right w:val="single" w:color="auto" w:sz="4" w:space="0"/>
            </w:tcBorders>
          </w:tcPr>
          <w:p w14:paraId="69656330">
            <w:pPr>
              <w:spacing w:line="340" w:lineRule="exact"/>
              <w:jc w:val="left"/>
              <w:rPr>
                <w:rFonts w:ascii="仿宋_GB2312" w:hAnsi="仿宋_GB2312" w:eastAsia="仿宋_GB2312" w:cs="仿宋_GB2312"/>
                <w:bCs/>
                <w:szCs w:val="21"/>
              </w:rPr>
            </w:pPr>
            <w:r>
              <w:rPr>
                <w:rFonts w:hint="eastAsia" w:ascii="仿宋_GB2312" w:hAnsi="仿宋_GB2312" w:eastAsia="仿宋_GB2312" w:cs="仿宋_GB2312"/>
                <w:bCs/>
                <w:szCs w:val="21"/>
              </w:rPr>
              <w:t>3.1</w:t>
            </w:r>
            <w:r>
              <w:rPr>
                <w:rFonts w:hint="eastAsia" w:ascii="仿宋_GB2312" w:hAnsi="仿宋_GB2312" w:eastAsia="仿宋_GB2312" w:cs="仿宋_GB2312"/>
                <w:bCs/>
                <w:spacing w:val="0"/>
                <w:sz w:val="21"/>
                <w:szCs w:val="21"/>
                <w:lang w:val="en-US" w:eastAsia="zh-CN"/>
              </w:rPr>
              <w:t>中标人提供的设备品种、型号、规格、质量、数量不符合招标文件或经采购人验收不合格的，采购人有权解除合同，中标人应向采购人支付合同总价30%的违约金，如采购人已支付货款的中标人还应立即退还，若违约金不足以弥补采购人损失的，中标人还应按实际损失对采购人予以赔偿。</w:t>
            </w:r>
          </w:p>
        </w:tc>
      </w:tr>
      <w:tr w14:paraId="3E528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123" w:type="dxa"/>
            <w:vMerge w:val="continue"/>
            <w:tcBorders>
              <w:left w:val="single" w:color="auto" w:sz="4" w:space="0"/>
              <w:right w:val="single" w:color="auto" w:sz="4" w:space="0"/>
            </w:tcBorders>
            <w:vAlign w:val="center"/>
          </w:tcPr>
          <w:p w14:paraId="409C251D">
            <w:pPr>
              <w:spacing w:line="340" w:lineRule="exact"/>
              <w:jc w:val="center"/>
              <w:rPr>
                <w:rFonts w:hint="eastAsia" w:ascii="仿宋_GB2312" w:hAnsi="仿宋_GB2312" w:eastAsia="仿宋_GB2312" w:cs="仿宋_GB2312"/>
                <w:bCs/>
                <w:szCs w:val="21"/>
              </w:rPr>
            </w:pPr>
          </w:p>
        </w:tc>
        <w:tc>
          <w:tcPr>
            <w:tcW w:w="1757" w:type="dxa"/>
            <w:vMerge w:val="continue"/>
            <w:tcBorders>
              <w:left w:val="single" w:color="auto" w:sz="4" w:space="0"/>
              <w:right w:val="single" w:color="auto" w:sz="4" w:space="0"/>
            </w:tcBorders>
            <w:vAlign w:val="center"/>
          </w:tcPr>
          <w:p w14:paraId="24170FA0">
            <w:pPr>
              <w:spacing w:line="340" w:lineRule="exact"/>
              <w:jc w:val="center"/>
              <w:rPr>
                <w:rFonts w:hint="eastAsia" w:ascii="仿宋_GB2312" w:hAnsi="仿宋_GB2312" w:eastAsia="仿宋_GB2312" w:cs="仿宋_GB2312"/>
                <w:szCs w:val="21"/>
              </w:rPr>
            </w:pPr>
          </w:p>
        </w:tc>
        <w:tc>
          <w:tcPr>
            <w:tcW w:w="5940" w:type="dxa"/>
            <w:tcBorders>
              <w:top w:val="single" w:color="auto" w:sz="4" w:space="0"/>
              <w:left w:val="single" w:color="auto" w:sz="4" w:space="0"/>
              <w:bottom w:val="single" w:color="auto" w:sz="4" w:space="0"/>
              <w:right w:val="single" w:color="auto" w:sz="4" w:space="0"/>
            </w:tcBorders>
          </w:tcPr>
          <w:p w14:paraId="55DF8FEA">
            <w:pPr>
              <w:spacing w:line="340" w:lineRule="exact"/>
              <w:jc w:val="left"/>
              <w:rPr>
                <w:rFonts w:hint="eastAsia" w:ascii="仿宋_GB2312" w:hAnsi="仿宋_GB2312" w:eastAsia="仿宋_GB2312" w:cs="仿宋_GB2312"/>
                <w:bCs/>
                <w:szCs w:val="21"/>
              </w:rPr>
            </w:pPr>
            <w:r>
              <w:rPr>
                <w:rFonts w:hint="eastAsia" w:ascii="仿宋_GB2312" w:hAnsi="仿宋_GB2312" w:eastAsia="仿宋_GB2312" w:cs="仿宋_GB2312"/>
                <w:bCs/>
                <w:szCs w:val="21"/>
                <w:lang w:val="en-US" w:eastAsia="zh-CN"/>
              </w:rPr>
              <w:t>3.2</w:t>
            </w:r>
            <w:r>
              <w:rPr>
                <w:rFonts w:hint="eastAsia" w:ascii="仿宋_GB2312" w:hAnsi="仿宋_GB2312" w:eastAsia="仿宋_GB2312" w:cs="仿宋_GB2312"/>
                <w:bCs/>
                <w:szCs w:val="21"/>
              </w:rPr>
              <w:t>因资金下达时间或财务审计等政府财务监管审核导致付款延迟的，</w:t>
            </w:r>
            <w:r>
              <w:rPr>
                <w:rFonts w:hint="eastAsia" w:ascii="仿宋_GB2312" w:hAnsi="仿宋_GB2312" w:eastAsia="仿宋_GB2312" w:cs="仿宋_GB2312"/>
                <w:bCs/>
                <w:szCs w:val="21"/>
                <w:lang w:val="en-US" w:eastAsia="zh-CN"/>
              </w:rPr>
              <w:t>采购人</w:t>
            </w:r>
            <w:r>
              <w:rPr>
                <w:rFonts w:hint="eastAsia" w:ascii="仿宋_GB2312" w:hAnsi="仿宋_GB2312" w:eastAsia="仿宋_GB2312" w:cs="仿宋_GB2312"/>
                <w:bCs/>
                <w:szCs w:val="21"/>
              </w:rPr>
              <w:t>无需承担逾期付款的违约责任。</w:t>
            </w:r>
          </w:p>
        </w:tc>
      </w:tr>
      <w:tr w14:paraId="23B0C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trPr>
        <w:tc>
          <w:tcPr>
            <w:tcW w:w="1123" w:type="dxa"/>
            <w:vMerge w:val="continue"/>
            <w:tcBorders>
              <w:top w:val="single" w:color="auto" w:sz="4" w:space="0"/>
              <w:left w:val="single" w:color="auto" w:sz="4" w:space="0"/>
              <w:bottom w:val="single" w:color="auto" w:sz="4" w:space="0"/>
              <w:right w:val="single" w:color="auto" w:sz="4" w:space="0"/>
            </w:tcBorders>
            <w:vAlign w:val="center"/>
          </w:tcPr>
          <w:p w14:paraId="2F72F13F">
            <w:pPr>
              <w:widowControl/>
              <w:spacing w:line="340" w:lineRule="exact"/>
              <w:jc w:val="left"/>
              <w:rPr>
                <w:rFonts w:ascii="仿宋_GB2312" w:hAnsi="仿宋_GB2312" w:eastAsia="仿宋_GB2312" w:cs="仿宋_GB2312"/>
                <w:bCs/>
                <w:szCs w:val="21"/>
              </w:rPr>
            </w:pPr>
          </w:p>
        </w:tc>
        <w:tc>
          <w:tcPr>
            <w:tcW w:w="1757" w:type="dxa"/>
            <w:vMerge w:val="continue"/>
            <w:tcBorders>
              <w:top w:val="single" w:color="auto" w:sz="4" w:space="0"/>
              <w:left w:val="single" w:color="auto" w:sz="4" w:space="0"/>
              <w:bottom w:val="single" w:color="auto" w:sz="4" w:space="0"/>
              <w:right w:val="single" w:color="auto" w:sz="4" w:space="0"/>
            </w:tcBorders>
            <w:vAlign w:val="center"/>
          </w:tcPr>
          <w:p w14:paraId="3A02CC71">
            <w:pPr>
              <w:widowControl/>
              <w:spacing w:line="340" w:lineRule="exact"/>
              <w:jc w:val="left"/>
              <w:rPr>
                <w:rFonts w:ascii="仿宋_GB2312" w:hAnsi="仿宋_GB2312" w:eastAsia="仿宋_GB2312" w:cs="仿宋_GB2312"/>
                <w:szCs w:val="21"/>
              </w:rPr>
            </w:pPr>
          </w:p>
        </w:tc>
        <w:tc>
          <w:tcPr>
            <w:tcW w:w="5940" w:type="dxa"/>
            <w:tcBorders>
              <w:top w:val="single" w:color="auto" w:sz="4" w:space="0"/>
              <w:left w:val="single" w:color="auto" w:sz="4" w:space="0"/>
              <w:bottom w:val="single" w:color="auto" w:sz="4" w:space="0"/>
              <w:right w:val="single" w:color="auto" w:sz="4" w:space="0"/>
            </w:tcBorders>
          </w:tcPr>
          <w:p w14:paraId="043029DE">
            <w:pPr>
              <w:spacing w:line="340" w:lineRule="exact"/>
              <w:jc w:val="left"/>
              <w:rPr>
                <w:rFonts w:ascii="仿宋_GB2312" w:hAnsi="仿宋_GB2312" w:eastAsia="仿宋_GB2312" w:cs="仿宋_GB2312"/>
                <w:bCs/>
                <w:szCs w:val="21"/>
              </w:rPr>
            </w:pPr>
            <w:r>
              <w:rPr>
                <w:rFonts w:hint="eastAsia" w:ascii="仿宋_GB2312" w:hAnsi="仿宋_GB2312" w:eastAsia="仿宋_GB2312" w:cs="仿宋_GB2312"/>
                <w:bCs/>
                <w:spacing w:val="0"/>
                <w:sz w:val="21"/>
                <w:szCs w:val="21"/>
                <w:lang w:val="en-US" w:eastAsia="zh-CN"/>
              </w:rPr>
              <w:t>3.3 中标人无正当理由不能交付设备的，采购人有权解除合同，中标人应向采购人支付合同总价30%的违约金，如违约金不足以弥补采购人损失的，中标人还应按实际损失对采购人予以赔偿。</w:t>
            </w:r>
          </w:p>
        </w:tc>
      </w:tr>
      <w:tr w14:paraId="6A48A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123" w:type="dxa"/>
            <w:vMerge w:val="continue"/>
            <w:tcBorders>
              <w:top w:val="single" w:color="auto" w:sz="4" w:space="0"/>
              <w:left w:val="single" w:color="auto" w:sz="4" w:space="0"/>
              <w:bottom w:val="single" w:color="auto" w:sz="4" w:space="0"/>
              <w:right w:val="single" w:color="auto" w:sz="4" w:space="0"/>
            </w:tcBorders>
            <w:vAlign w:val="center"/>
          </w:tcPr>
          <w:p w14:paraId="5858BFF7">
            <w:pPr>
              <w:widowControl/>
              <w:spacing w:line="340" w:lineRule="exact"/>
              <w:jc w:val="left"/>
              <w:rPr>
                <w:rFonts w:ascii="仿宋_GB2312" w:hAnsi="仿宋_GB2312" w:eastAsia="仿宋_GB2312" w:cs="仿宋_GB2312"/>
                <w:bCs/>
                <w:szCs w:val="21"/>
              </w:rPr>
            </w:pPr>
          </w:p>
        </w:tc>
        <w:tc>
          <w:tcPr>
            <w:tcW w:w="1757" w:type="dxa"/>
            <w:vMerge w:val="continue"/>
            <w:tcBorders>
              <w:top w:val="single" w:color="auto" w:sz="4" w:space="0"/>
              <w:left w:val="single" w:color="auto" w:sz="4" w:space="0"/>
              <w:bottom w:val="single" w:color="auto" w:sz="4" w:space="0"/>
              <w:right w:val="single" w:color="auto" w:sz="4" w:space="0"/>
            </w:tcBorders>
            <w:vAlign w:val="center"/>
          </w:tcPr>
          <w:p w14:paraId="0EB2FE97">
            <w:pPr>
              <w:widowControl/>
              <w:spacing w:line="340" w:lineRule="exact"/>
              <w:jc w:val="left"/>
              <w:rPr>
                <w:rFonts w:ascii="仿宋_GB2312" w:hAnsi="仿宋_GB2312" w:eastAsia="仿宋_GB2312" w:cs="仿宋_GB2312"/>
                <w:szCs w:val="21"/>
              </w:rPr>
            </w:pPr>
          </w:p>
        </w:tc>
        <w:tc>
          <w:tcPr>
            <w:tcW w:w="5940" w:type="dxa"/>
            <w:tcBorders>
              <w:top w:val="single" w:color="auto" w:sz="4" w:space="0"/>
              <w:left w:val="single" w:color="auto" w:sz="4" w:space="0"/>
              <w:bottom w:val="single" w:color="auto" w:sz="4" w:space="0"/>
              <w:right w:val="single" w:color="auto" w:sz="4" w:space="0"/>
            </w:tcBorders>
          </w:tcPr>
          <w:p w14:paraId="7B1372D8">
            <w:pPr>
              <w:spacing w:line="340" w:lineRule="exact"/>
              <w:jc w:val="left"/>
              <w:rPr>
                <w:rFonts w:ascii="仿宋_GB2312" w:hAnsi="仿宋_GB2312" w:eastAsia="仿宋_GB2312" w:cs="仿宋_GB2312"/>
                <w:bCs/>
                <w:szCs w:val="21"/>
              </w:rPr>
            </w:pPr>
            <w:r>
              <w:rPr>
                <w:rFonts w:hint="eastAsia" w:ascii="仿宋_GB2312" w:hAnsi="仿宋_GB2312" w:eastAsia="仿宋_GB2312" w:cs="仿宋_GB2312"/>
                <w:bCs/>
                <w:szCs w:val="21"/>
              </w:rPr>
              <w:t>3.</w:t>
            </w:r>
            <w:r>
              <w:rPr>
                <w:rFonts w:hint="eastAsia" w:ascii="仿宋_GB2312" w:hAnsi="仿宋_GB2312" w:eastAsia="仿宋_GB2312" w:cs="仿宋_GB2312"/>
                <w:bCs/>
                <w:szCs w:val="21"/>
                <w:lang w:val="en-US" w:eastAsia="zh-CN"/>
              </w:rPr>
              <w:t>4</w:t>
            </w:r>
            <w:r>
              <w:rPr>
                <w:rFonts w:hint="eastAsia" w:ascii="仿宋_GB2312" w:hAnsi="仿宋_GB2312" w:eastAsia="仿宋_GB2312" w:cs="仿宋_GB2312"/>
                <w:bCs/>
                <w:spacing w:val="0"/>
                <w:sz w:val="21"/>
                <w:szCs w:val="21"/>
                <w:lang w:val="en-US" w:eastAsia="zh-CN"/>
              </w:rPr>
              <w:t>中标人未按合同约定履行保修维修服务的，中标人向采购人每日给付违约金为合同总价的1%，逾期提供服务超过30天的，采购人有权解除合同，中标人应向采购人支付合同总价30%的违约金，如采购人已支付货款的中标人还应立即退还，若违约金不足以弥补采购人损失的，中标人还应按实际损失对采购人予以赔偿。</w:t>
            </w:r>
          </w:p>
        </w:tc>
      </w:tr>
      <w:tr w14:paraId="07964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123" w:type="dxa"/>
            <w:vMerge w:val="continue"/>
            <w:tcBorders>
              <w:top w:val="single" w:color="auto" w:sz="4" w:space="0"/>
              <w:left w:val="single" w:color="auto" w:sz="4" w:space="0"/>
              <w:bottom w:val="single" w:color="auto" w:sz="4" w:space="0"/>
              <w:right w:val="single" w:color="auto" w:sz="4" w:space="0"/>
            </w:tcBorders>
            <w:vAlign w:val="center"/>
          </w:tcPr>
          <w:p w14:paraId="6021544F">
            <w:pPr>
              <w:widowControl/>
              <w:spacing w:line="340" w:lineRule="exact"/>
              <w:jc w:val="left"/>
              <w:rPr>
                <w:rFonts w:ascii="仿宋_GB2312" w:hAnsi="仿宋_GB2312" w:eastAsia="仿宋_GB2312" w:cs="仿宋_GB2312"/>
                <w:bCs/>
                <w:szCs w:val="21"/>
              </w:rPr>
            </w:pPr>
          </w:p>
        </w:tc>
        <w:tc>
          <w:tcPr>
            <w:tcW w:w="1757" w:type="dxa"/>
            <w:vMerge w:val="continue"/>
            <w:tcBorders>
              <w:top w:val="single" w:color="auto" w:sz="4" w:space="0"/>
              <w:left w:val="single" w:color="auto" w:sz="4" w:space="0"/>
              <w:bottom w:val="single" w:color="auto" w:sz="4" w:space="0"/>
              <w:right w:val="single" w:color="auto" w:sz="4" w:space="0"/>
            </w:tcBorders>
            <w:vAlign w:val="center"/>
          </w:tcPr>
          <w:p w14:paraId="0BEBAE8F">
            <w:pPr>
              <w:widowControl/>
              <w:spacing w:line="340" w:lineRule="exact"/>
              <w:jc w:val="left"/>
              <w:rPr>
                <w:rFonts w:ascii="仿宋_GB2312" w:hAnsi="仿宋_GB2312" w:eastAsia="仿宋_GB2312" w:cs="仿宋_GB2312"/>
                <w:szCs w:val="21"/>
              </w:rPr>
            </w:pPr>
          </w:p>
        </w:tc>
        <w:tc>
          <w:tcPr>
            <w:tcW w:w="5940" w:type="dxa"/>
            <w:tcBorders>
              <w:top w:val="single" w:color="auto" w:sz="4" w:space="0"/>
              <w:left w:val="single" w:color="auto" w:sz="4" w:space="0"/>
              <w:bottom w:val="single" w:color="auto" w:sz="4" w:space="0"/>
              <w:right w:val="single" w:color="auto" w:sz="4" w:space="0"/>
            </w:tcBorders>
          </w:tcPr>
          <w:p w14:paraId="37139511">
            <w:pPr>
              <w:spacing w:line="340" w:lineRule="exact"/>
              <w:jc w:val="left"/>
              <w:rPr>
                <w:rFonts w:ascii="仿宋_GB2312" w:hAnsi="仿宋_GB2312" w:eastAsia="仿宋_GB2312" w:cs="仿宋_GB2312"/>
                <w:bCs/>
                <w:szCs w:val="21"/>
              </w:rPr>
            </w:pPr>
            <w:r>
              <w:rPr>
                <w:rFonts w:hint="eastAsia" w:ascii="仿宋_GB2312" w:hAnsi="仿宋_GB2312" w:eastAsia="仿宋_GB2312" w:cs="仿宋_GB2312"/>
                <w:bCs/>
                <w:szCs w:val="21"/>
              </w:rPr>
              <w:t>3.</w:t>
            </w:r>
            <w:r>
              <w:rPr>
                <w:rFonts w:hint="eastAsia" w:ascii="仿宋_GB2312" w:hAnsi="仿宋_GB2312" w:eastAsia="仿宋_GB2312" w:cs="仿宋_GB2312"/>
                <w:bCs/>
                <w:szCs w:val="21"/>
                <w:lang w:val="en-US" w:eastAsia="zh-CN"/>
              </w:rPr>
              <w:t>5</w:t>
            </w:r>
            <w:r>
              <w:t xml:space="preserve"> </w:t>
            </w:r>
            <w:r>
              <w:rPr>
                <w:rFonts w:hint="eastAsia" w:ascii="仿宋_GB2312" w:hAnsi="仿宋_GB2312" w:eastAsia="仿宋_GB2312" w:cs="仿宋_GB2312"/>
                <w:bCs/>
                <w:spacing w:val="0"/>
                <w:sz w:val="21"/>
                <w:szCs w:val="21"/>
                <w:lang w:eastAsia="zh-CN"/>
              </w:rPr>
              <w:t>中标人承诺所使用软件的合法性，因中标人使用的软件引起纠纷给采购人造成损失的，应按合同总价的30%向采购人承担违约责任，违约金不足以弥补损失的，还应赔偿相应损失。</w:t>
            </w:r>
          </w:p>
        </w:tc>
      </w:tr>
      <w:tr w14:paraId="4813F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123" w:type="dxa"/>
            <w:vMerge w:val="continue"/>
            <w:tcBorders>
              <w:top w:val="single" w:color="auto" w:sz="4" w:space="0"/>
              <w:left w:val="single" w:color="auto" w:sz="4" w:space="0"/>
              <w:bottom w:val="single" w:color="auto" w:sz="4" w:space="0"/>
              <w:right w:val="single" w:color="auto" w:sz="4" w:space="0"/>
            </w:tcBorders>
            <w:vAlign w:val="center"/>
          </w:tcPr>
          <w:p w14:paraId="17390889">
            <w:pPr>
              <w:spacing w:line="340" w:lineRule="exact"/>
              <w:jc w:val="center"/>
              <w:rPr>
                <w:rFonts w:hint="eastAsia" w:ascii="仿宋_GB2312" w:hAnsi="仿宋_GB2312" w:eastAsia="仿宋_GB2312" w:cs="仿宋_GB2312"/>
                <w:bCs/>
                <w:szCs w:val="21"/>
              </w:rPr>
            </w:pPr>
          </w:p>
        </w:tc>
        <w:tc>
          <w:tcPr>
            <w:tcW w:w="1757" w:type="dxa"/>
            <w:vMerge w:val="continue"/>
            <w:tcBorders>
              <w:top w:val="single" w:color="auto" w:sz="4" w:space="0"/>
              <w:left w:val="single" w:color="auto" w:sz="4" w:space="0"/>
              <w:bottom w:val="single" w:color="auto" w:sz="4" w:space="0"/>
              <w:right w:val="single" w:color="auto" w:sz="4" w:space="0"/>
            </w:tcBorders>
            <w:vAlign w:val="center"/>
          </w:tcPr>
          <w:p w14:paraId="36673332">
            <w:pPr>
              <w:spacing w:line="340" w:lineRule="exact"/>
              <w:jc w:val="center"/>
              <w:rPr>
                <w:rFonts w:hint="eastAsia" w:ascii="仿宋_GB2312" w:hAnsi="仿宋_GB2312" w:eastAsia="仿宋_GB2312" w:cs="仿宋_GB2312"/>
                <w:szCs w:val="21"/>
              </w:rPr>
            </w:pPr>
          </w:p>
        </w:tc>
        <w:tc>
          <w:tcPr>
            <w:tcW w:w="5940" w:type="dxa"/>
            <w:tcBorders>
              <w:top w:val="single" w:color="auto" w:sz="4" w:space="0"/>
              <w:left w:val="single" w:color="auto" w:sz="4" w:space="0"/>
              <w:bottom w:val="single" w:color="auto" w:sz="4" w:space="0"/>
              <w:right w:val="single" w:color="auto" w:sz="4" w:space="0"/>
            </w:tcBorders>
          </w:tcPr>
          <w:p w14:paraId="7B3C92C3">
            <w:pPr>
              <w:spacing w:line="340" w:lineRule="exact"/>
              <w:jc w:val="left"/>
              <w:rPr>
                <w:rFonts w:hint="eastAsia" w:ascii="仿宋_GB2312" w:hAnsi="仿宋_GB2312" w:eastAsia="仿宋_GB2312" w:cs="仿宋_GB2312"/>
                <w:color w:val="FF0000"/>
                <w:szCs w:val="21"/>
              </w:rPr>
            </w:pPr>
            <w:r>
              <w:rPr>
                <w:rFonts w:hint="eastAsia" w:ascii="仿宋_GB2312" w:hAnsi="仿宋_GB2312" w:eastAsia="仿宋_GB2312" w:cs="仿宋_GB2312"/>
                <w:bCs/>
                <w:spacing w:val="0"/>
                <w:sz w:val="21"/>
                <w:szCs w:val="21"/>
                <w:lang w:val="en-US" w:eastAsia="zh-CN"/>
              </w:rPr>
              <w:t>3.6</w:t>
            </w:r>
            <w:r>
              <w:rPr>
                <w:rFonts w:hint="eastAsia" w:ascii="仿宋_GB2312" w:hAnsi="仿宋_GB2312" w:eastAsia="仿宋_GB2312" w:cs="仿宋_GB2312"/>
                <w:bCs/>
                <w:spacing w:val="0"/>
                <w:sz w:val="21"/>
                <w:szCs w:val="21"/>
                <w:lang w:eastAsia="zh-CN"/>
              </w:rPr>
              <w:t>由于中标人的原因，未能按时供货</w:t>
            </w:r>
            <w:r>
              <w:rPr>
                <w:rFonts w:hint="eastAsia" w:ascii="仿宋_GB2312" w:hAnsi="仿宋_GB2312" w:eastAsia="仿宋_GB2312" w:cs="仿宋_GB2312"/>
                <w:bCs/>
                <w:spacing w:val="0"/>
                <w:sz w:val="21"/>
                <w:szCs w:val="21"/>
                <w:lang w:val="en-US" w:eastAsia="zh-CN"/>
              </w:rPr>
              <w:t>或配合验收的</w:t>
            </w:r>
            <w:r>
              <w:rPr>
                <w:rFonts w:hint="eastAsia" w:ascii="仿宋_GB2312" w:hAnsi="仿宋_GB2312" w:eastAsia="仿宋_GB2312" w:cs="仿宋_GB2312"/>
                <w:bCs/>
                <w:spacing w:val="0"/>
                <w:sz w:val="21"/>
                <w:szCs w:val="21"/>
                <w:lang w:eastAsia="zh-CN"/>
              </w:rPr>
              <w:t>，每迟一天应给付采购人的违约金为合同总额的1%，总额不超过</w:t>
            </w:r>
            <w:r>
              <w:rPr>
                <w:rFonts w:hint="eastAsia" w:ascii="仿宋_GB2312" w:hAnsi="仿宋_GB2312" w:eastAsia="仿宋_GB2312" w:cs="仿宋_GB2312"/>
                <w:bCs/>
                <w:spacing w:val="0"/>
                <w:sz w:val="21"/>
                <w:szCs w:val="21"/>
                <w:lang w:val="en-US" w:eastAsia="zh-CN"/>
              </w:rPr>
              <w:t>合同总价</w:t>
            </w:r>
            <w:r>
              <w:rPr>
                <w:rFonts w:hint="eastAsia" w:ascii="仿宋_GB2312" w:hAnsi="仿宋_GB2312" w:eastAsia="仿宋_GB2312" w:cs="仿宋_GB2312"/>
                <w:bCs/>
                <w:spacing w:val="0"/>
                <w:sz w:val="21"/>
                <w:szCs w:val="21"/>
                <w:lang w:eastAsia="zh-CN"/>
              </w:rPr>
              <w:t>的30%；如超过供货期30日，采购人有权</w:t>
            </w:r>
            <w:r>
              <w:rPr>
                <w:rFonts w:hint="eastAsia" w:ascii="仿宋_GB2312" w:hAnsi="仿宋_GB2312" w:eastAsia="仿宋_GB2312" w:cs="仿宋_GB2312"/>
                <w:bCs/>
                <w:spacing w:val="0"/>
                <w:sz w:val="21"/>
                <w:szCs w:val="21"/>
                <w:lang w:val="en-US" w:eastAsia="zh-CN"/>
              </w:rPr>
              <w:t>解除</w:t>
            </w:r>
            <w:r>
              <w:rPr>
                <w:rFonts w:hint="eastAsia" w:ascii="仿宋_GB2312" w:hAnsi="仿宋_GB2312" w:eastAsia="仿宋_GB2312" w:cs="仿宋_GB2312"/>
                <w:bCs/>
                <w:spacing w:val="0"/>
                <w:sz w:val="21"/>
                <w:szCs w:val="21"/>
                <w:lang w:eastAsia="zh-CN"/>
              </w:rPr>
              <w:t>合同，</w:t>
            </w:r>
            <w:r>
              <w:rPr>
                <w:rFonts w:hint="eastAsia" w:ascii="仿宋_GB2312" w:hAnsi="仿宋_GB2312" w:eastAsia="仿宋_GB2312" w:cs="仿宋_GB2312"/>
                <w:bCs/>
                <w:spacing w:val="0"/>
                <w:sz w:val="21"/>
                <w:szCs w:val="21"/>
                <w:lang w:val="en-US" w:eastAsia="zh-CN"/>
              </w:rPr>
              <w:t>如采购人已支付货款的中标人还应立即退还，</w:t>
            </w:r>
            <w:r>
              <w:rPr>
                <w:rFonts w:hint="eastAsia" w:ascii="仿宋_GB2312" w:hAnsi="仿宋_GB2312" w:eastAsia="仿宋_GB2312" w:cs="仿宋_GB2312"/>
                <w:bCs/>
                <w:spacing w:val="0"/>
                <w:sz w:val="21"/>
                <w:szCs w:val="21"/>
                <w:lang w:eastAsia="zh-CN"/>
              </w:rPr>
              <w:t>违约金不足以弥补损失的，应赔偿相应损失。</w:t>
            </w:r>
          </w:p>
        </w:tc>
      </w:tr>
      <w:tr w14:paraId="0777D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123" w:type="dxa"/>
            <w:vMerge w:val="continue"/>
            <w:tcBorders>
              <w:top w:val="single" w:color="auto" w:sz="4" w:space="0"/>
              <w:left w:val="single" w:color="auto" w:sz="4" w:space="0"/>
              <w:bottom w:val="single" w:color="auto" w:sz="4" w:space="0"/>
              <w:right w:val="single" w:color="auto" w:sz="4" w:space="0"/>
            </w:tcBorders>
            <w:vAlign w:val="center"/>
          </w:tcPr>
          <w:p w14:paraId="09A6F85A">
            <w:pPr>
              <w:spacing w:line="340" w:lineRule="exact"/>
              <w:jc w:val="center"/>
              <w:rPr>
                <w:rFonts w:hint="eastAsia" w:ascii="仿宋_GB2312" w:hAnsi="仿宋_GB2312" w:eastAsia="仿宋_GB2312" w:cs="仿宋_GB2312"/>
                <w:bCs/>
                <w:szCs w:val="21"/>
              </w:rPr>
            </w:pPr>
          </w:p>
        </w:tc>
        <w:tc>
          <w:tcPr>
            <w:tcW w:w="1757" w:type="dxa"/>
            <w:vMerge w:val="continue"/>
            <w:tcBorders>
              <w:top w:val="single" w:color="auto" w:sz="4" w:space="0"/>
              <w:left w:val="single" w:color="auto" w:sz="4" w:space="0"/>
              <w:bottom w:val="single" w:color="auto" w:sz="4" w:space="0"/>
              <w:right w:val="single" w:color="auto" w:sz="4" w:space="0"/>
            </w:tcBorders>
            <w:vAlign w:val="center"/>
          </w:tcPr>
          <w:p w14:paraId="4E040466">
            <w:pPr>
              <w:spacing w:line="340" w:lineRule="exact"/>
              <w:jc w:val="center"/>
              <w:rPr>
                <w:rFonts w:hint="eastAsia" w:ascii="仿宋_GB2312" w:hAnsi="仿宋_GB2312" w:eastAsia="仿宋_GB2312" w:cs="仿宋_GB2312"/>
                <w:szCs w:val="21"/>
              </w:rPr>
            </w:pPr>
          </w:p>
        </w:tc>
        <w:tc>
          <w:tcPr>
            <w:tcW w:w="5940" w:type="dxa"/>
            <w:tcBorders>
              <w:top w:val="single" w:color="auto" w:sz="4" w:space="0"/>
              <w:left w:val="single" w:color="auto" w:sz="4" w:space="0"/>
              <w:bottom w:val="single" w:color="auto" w:sz="4" w:space="0"/>
              <w:right w:val="single" w:color="auto" w:sz="4" w:space="0"/>
            </w:tcBorders>
          </w:tcPr>
          <w:p w14:paraId="7CD01C25">
            <w:pPr>
              <w:spacing w:line="340" w:lineRule="exact"/>
              <w:jc w:val="left"/>
              <w:rPr>
                <w:rFonts w:hint="eastAsia" w:ascii="仿宋_GB2312" w:hAnsi="仿宋_GB2312" w:eastAsia="仿宋_GB2312" w:cs="仿宋_GB2312"/>
                <w:color w:val="FF0000"/>
                <w:szCs w:val="21"/>
              </w:rPr>
            </w:pPr>
            <w:r>
              <w:rPr>
                <w:rFonts w:hint="eastAsia" w:ascii="仿宋_GB2312" w:hAnsi="仿宋_GB2312" w:eastAsia="仿宋_GB2312" w:cs="仿宋_GB2312"/>
                <w:bCs/>
                <w:spacing w:val="0"/>
                <w:sz w:val="21"/>
                <w:szCs w:val="21"/>
                <w:lang w:val="en-US" w:eastAsia="zh-CN"/>
              </w:rPr>
              <w:t>3.7</w:t>
            </w:r>
            <w:r>
              <w:rPr>
                <w:rFonts w:hint="eastAsia" w:ascii="仿宋_GB2312" w:hAnsi="仿宋_GB2312" w:eastAsia="仿宋_GB2312" w:cs="仿宋_GB2312"/>
                <w:bCs/>
                <w:spacing w:val="0"/>
                <w:sz w:val="21"/>
                <w:szCs w:val="21"/>
                <w:lang w:eastAsia="zh-CN"/>
              </w:rPr>
              <w:t>由于中标人的原因，在货到一周内未进行安装调试，或安装调试时间超过正常要求（30日），每超过一天应给付采购人的违约金为合同总额的1%。违约金不足以弥补采购人损失的，中标人应承担相应损失。情节严重者，采购人将依法律程序要求中标人进行索赔。</w:t>
            </w:r>
          </w:p>
        </w:tc>
      </w:tr>
      <w:tr w14:paraId="44347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123" w:type="dxa"/>
            <w:vMerge w:val="continue"/>
            <w:tcBorders>
              <w:top w:val="single" w:color="auto" w:sz="4" w:space="0"/>
              <w:left w:val="single" w:color="auto" w:sz="4" w:space="0"/>
              <w:bottom w:val="single" w:color="auto" w:sz="4" w:space="0"/>
              <w:right w:val="single" w:color="auto" w:sz="4" w:space="0"/>
            </w:tcBorders>
            <w:vAlign w:val="center"/>
          </w:tcPr>
          <w:p w14:paraId="7B3F86AB">
            <w:pPr>
              <w:spacing w:line="340" w:lineRule="exact"/>
              <w:jc w:val="center"/>
              <w:rPr>
                <w:rFonts w:hint="eastAsia" w:ascii="仿宋_GB2312" w:hAnsi="仿宋_GB2312" w:eastAsia="仿宋_GB2312" w:cs="仿宋_GB2312"/>
                <w:bCs/>
                <w:szCs w:val="21"/>
              </w:rPr>
            </w:pPr>
          </w:p>
        </w:tc>
        <w:tc>
          <w:tcPr>
            <w:tcW w:w="1757" w:type="dxa"/>
            <w:vMerge w:val="continue"/>
            <w:tcBorders>
              <w:top w:val="single" w:color="auto" w:sz="4" w:space="0"/>
              <w:left w:val="single" w:color="auto" w:sz="4" w:space="0"/>
              <w:bottom w:val="single" w:color="auto" w:sz="4" w:space="0"/>
              <w:right w:val="single" w:color="auto" w:sz="4" w:space="0"/>
            </w:tcBorders>
            <w:vAlign w:val="center"/>
          </w:tcPr>
          <w:p w14:paraId="08C2C2DE">
            <w:pPr>
              <w:spacing w:line="340" w:lineRule="exact"/>
              <w:jc w:val="center"/>
              <w:rPr>
                <w:rFonts w:hint="eastAsia" w:ascii="仿宋_GB2312" w:hAnsi="仿宋_GB2312" w:eastAsia="仿宋_GB2312" w:cs="仿宋_GB2312"/>
                <w:szCs w:val="21"/>
              </w:rPr>
            </w:pPr>
          </w:p>
        </w:tc>
        <w:tc>
          <w:tcPr>
            <w:tcW w:w="5940" w:type="dxa"/>
            <w:tcBorders>
              <w:top w:val="single" w:color="auto" w:sz="4" w:space="0"/>
              <w:left w:val="single" w:color="auto" w:sz="4" w:space="0"/>
              <w:bottom w:val="single" w:color="auto" w:sz="4" w:space="0"/>
              <w:right w:val="single" w:color="auto" w:sz="4" w:space="0"/>
            </w:tcBorders>
            <w:vAlign w:val="top"/>
          </w:tcPr>
          <w:p w14:paraId="611C1D7A">
            <w:pPr>
              <w:spacing w:line="340" w:lineRule="exact"/>
              <w:jc w:val="left"/>
              <w:rPr>
                <w:rFonts w:hint="eastAsia" w:ascii="仿宋_GB2312" w:hAnsi="仿宋_GB2312" w:eastAsia="仿宋_GB2312" w:cs="仿宋_GB2312"/>
                <w:bCs/>
                <w:spacing w:val="0"/>
                <w:sz w:val="21"/>
                <w:szCs w:val="21"/>
                <w:lang w:val="en-US" w:eastAsia="zh-CN"/>
              </w:rPr>
            </w:pPr>
            <w:r>
              <w:rPr>
                <w:rFonts w:hint="eastAsia" w:ascii="仿宋_GB2312" w:hAnsi="仿宋_GB2312" w:eastAsia="仿宋_GB2312" w:cs="仿宋_GB2312"/>
                <w:bCs/>
                <w:spacing w:val="0"/>
                <w:sz w:val="21"/>
                <w:szCs w:val="21"/>
                <w:lang w:val="en-US" w:eastAsia="zh-CN"/>
              </w:rPr>
              <w:t>3.8</w:t>
            </w:r>
            <w:r>
              <w:rPr>
                <w:rFonts w:hint="eastAsia" w:ascii="仿宋_GB2312" w:hAnsi="仿宋_GB2312" w:eastAsia="仿宋_GB2312" w:cs="仿宋_GB2312"/>
                <w:color w:val="auto"/>
                <w:szCs w:val="21"/>
              </w:rPr>
              <w:t>中标人</w:t>
            </w:r>
            <w:r>
              <w:rPr>
                <w:rFonts w:hint="eastAsia" w:ascii="仿宋_GB2312" w:hAnsi="仿宋_GB2312" w:eastAsia="仿宋_GB2312" w:cs="仿宋_GB2312"/>
                <w:bCs/>
                <w:spacing w:val="0"/>
                <w:sz w:val="21"/>
                <w:szCs w:val="21"/>
                <w:lang w:val="en-US" w:eastAsia="zh-CN"/>
              </w:rPr>
              <w:t>提供的设备经调试验收合格后，在保修期内连续三个月内频繁（平均每月1次或1次以上）出现设备不能正常使用的情况，采购人有权要求中标人免费更换新机或者退货。</w:t>
            </w:r>
          </w:p>
        </w:tc>
      </w:tr>
      <w:tr w14:paraId="49D5B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123" w:type="dxa"/>
            <w:vMerge w:val="continue"/>
            <w:tcBorders>
              <w:top w:val="single" w:color="auto" w:sz="4" w:space="0"/>
              <w:left w:val="single" w:color="auto" w:sz="4" w:space="0"/>
              <w:bottom w:val="single" w:color="auto" w:sz="4" w:space="0"/>
              <w:right w:val="single" w:color="auto" w:sz="4" w:space="0"/>
            </w:tcBorders>
            <w:vAlign w:val="center"/>
          </w:tcPr>
          <w:p w14:paraId="3BAE97F9">
            <w:pPr>
              <w:spacing w:line="340" w:lineRule="exact"/>
              <w:jc w:val="center"/>
              <w:rPr>
                <w:rFonts w:hint="eastAsia" w:ascii="仿宋_GB2312" w:hAnsi="仿宋_GB2312" w:eastAsia="仿宋_GB2312" w:cs="仿宋_GB2312"/>
                <w:bCs/>
                <w:szCs w:val="21"/>
              </w:rPr>
            </w:pPr>
          </w:p>
        </w:tc>
        <w:tc>
          <w:tcPr>
            <w:tcW w:w="1757" w:type="dxa"/>
            <w:vMerge w:val="continue"/>
            <w:tcBorders>
              <w:top w:val="single" w:color="auto" w:sz="4" w:space="0"/>
              <w:left w:val="single" w:color="auto" w:sz="4" w:space="0"/>
              <w:bottom w:val="single" w:color="auto" w:sz="4" w:space="0"/>
              <w:right w:val="single" w:color="auto" w:sz="4" w:space="0"/>
            </w:tcBorders>
            <w:vAlign w:val="center"/>
          </w:tcPr>
          <w:p w14:paraId="653250EF">
            <w:pPr>
              <w:spacing w:line="340" w:lineRule="exact"/>
              <w:jc w:val="center"/>
              <w:rPr>
                <w:rFonts w:hint="eastAsia" w:ascii="仿宋_GB2312" w:hAnsi="仿宋_GB2312" w:eastAsia="仿宋_GB2312" w:cs="仿宋_GB2312"/>
                <w:szCs w:val="21"/>
              </w:rPr>
            </w:pPr>
          </w:p>
        </w:tc>
        <w:tc>
          <w:tcPr>
            <w:tcW w:w="5940" w:type="dxa"/>
            <w:tcBorders>
              <w:top w:val="single" w:color="auto" w:sz="4" w:space="0"/>
              <w:left w:val="single" w:color="auto" w:sz="4" w:space="0"/>
              <w:bottom w:val="single" w:color="auto" w:sz="4" w:space="0"/>
              <w:right w:val="single" w:color="auto" w:sz="4" w:space="0"/>
            </w:tcBorders>
            <w:vAlign w:val="top"/>
          </w:tcPr>
          <w:p w14:paraId="6191E722">
            <w:pPr>
              <w:spacing w:line="340" w:lineRule="exact"/>
              <w:jc w:val="left"/>
              <w:rPr>
                <w:rFonts w:hint="eastAsia" w:ascii="仿宋_GB2312" w:hAnsi="仿宋_GB2312" w:eastAsia="仿宋_GB2312" w:cs="仿宋_GB2312"/>
                <w:bCs/>
                <w:spacing w:val="0"/>
                <w:sz w:val="21"/>
                <w:szCs w:val="21"/>
                <w:lang w:val="en-US" w:eastAsia="zh-CN"/>
              </w:rPr>
            </w:pPr>
            <w:r>
              <w:rPr>
                <w:rFonts w:hint="eastAsia" w:ascii="仿宋_GB2312" w:hAnsi="仿宋_GB2312" w:eastAsia="仿宋_GB2312" w:cs="仿宋_GB2312"/>
                <w:bCs/>
                <w:spacing w:val="0"/>
                <w:sz w:val="21"/>
                <w:szCs w:val="21"/>
                <w:lang w:val="en-US" w:eastAsia="zh-CN"/>
              </w:rPr>
              <w:t>3.9中标人保证提供的设备必须为合法渠道销售的设备，并保证采购人在使用该设备或设备的任何一部分时不会侵犯第三方的合法授权、所有权、抵押权、知识产权、 肖像权、隐私权（包括但不限于公民个人信息、隐私信息）等所有权利，否则中标人应按照中标价格总价款的30%向采购人支付违约金并承担对第三方的侵权责任产生的所有费用。采购人同时有权上报主管部门，并按相关规定处理。</w:t>
            </w:r>
          </w:p>
        </w:tc>
      </w:tr>
      <w:tr w14:paraId="758D4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123" w:type="dxa"/>
            <w:vMerge w:val="continue"/>
            <w:tcBorders>
              <w:top w:val="single" w:color="auto" w:sz="4" w:space="0"/>
              <w:left w:val="single" w:color="auto" w:sz="4" w:space="0"/>
              <w:bottom w:val="single" w:color="auto" w:sz="4" w:space="0"/>
              <w:right w:val="single" w:color="auto" w:sz="4" w:space="0"/>
            </w:tcBorders>
            <w:vAlign w:val="center"/>
          </w:tcPr>
          <w:p w14:paraId="3D17C644">
            <w:pPr>
              <w:spacing w:line="340" w:lineRule="exact"/>
              <w:jc w:val="center"/>
              <w:rPr>
                <w:rFonts w:hint="eastAsia" w:ascii="仿宋_GB2312" w:hAnsi="仿宋_GB2312" w:eastAsia="仿宋_GB2312" w:cs="仿宋_GB2312"/>
                <w:bCs/>
                <w:szCs w:val="21"/>
              </w:rPr>
            </w:pPr>
          </w:p>
        </w:tc>
        <w:tc>
          <w:tcPr>
            <w:tcW w:w="1757" w:type="dxa"/>
            <w:vMerge w:val="continue"/>
            <w:tcBorders>
              <w:top w:val="single" w:color="auto" w:sz="4" w:space="0"/>
              <w:left w:val="single" w:color="auto" w:sz="4" w:space="0"/>
              <w:bottom w:val="single" w:color="auto" w:sz="4" w:space="0"/>
              <w:right w:val="single" w:color="auto" w:sz="4" w:space="0"/>
            </w:tcBorders>
            <w:vAlign w:val="center"/>
          </w:tcPr>
          <w:p w14:paraId="3171A67C">
            <w:pPr>
              <w:spacing w:line="340" w:lineRule="exact"/>
              <w:jc w:val="center"/>
              <w:rPr>
                <w:rFonts w:hint="eastAsia" w:ascii="仿宋_GB2312" w:hAnsi="仿宋_GB2312" w:eastAsia="仿宋_GB2312" w:cs="仿宋_GB2312"/>
                <w:szCs w:val="21"/>
              </w:rPr>
            </w:pPr>
          </w:p>
        </w:tc>
        <w:tc>
          <w:tcPr>
            <w:tcW w:w="5940" w:type="dxa"/>
            <w:tcBorders>
              <w:top w:val="single" w:color="auto" w:sz="4" w:space="0"/>
              <w:left w:val="single" w:color="auto" w:sz="4" w:space="0"/>
              <w:bottom w:val="single" w:color="auto" w:sz="4" w:space="0"/>
              <w:right w:val="single" w:color="auto" w:sz="4" w:space="0"/>
            </w:tcBorders>
            <w:vAlign w:val="top"/>
          </w:tcPr>
          <w:p w14:paraId="65D9F6AE">
            <w:pPr>
              <w:spacing w:line="340" w:lineRule="exact"/>
              <w:jc w:val="left"/>
              <w:rPr>
                <w:rFonts w:hint="eastAsia" w:ascii="仿宋_GB2312" w:hAnsi="仿宋_GB2312" w:eastAsia="仿宋_GB2312" w:cs="仿宋_GB2312"/>
                <w:color w:val="auto"/>
                <w:szCs w:val="21"/>
              </w:rPr>
            </w:pPr>
            <w:r>
              <w:rPr>
                <w:rFonts w:hint="eastAsia" w:ascii="仿宋_GB2312" w:hAnsi="仿宋_GB2312" w:eastAsia="仿宋_GB2312" w:cs="仿宋_GB2312"/>
                <w:bCs/>
                <w:szCs w:val="21"/>
              </w:rPr>
              <w:t>3.</w:t>
            </w:r>
            <w:r>
              <w:rPr>
                <w:rFonts w:hint="eastAsia" w:ascii="仿宋_GB2312" w:hAnsi="仿宋_GB2312" w:eastAsia="仿宋_GB2312" w:cs="仿宋_GB2312"/>
                <w:bCs/>
                <w:szCs w:val="21"/>
                <w:lang w:val="en-US" w:eastAsia="zh-CN"/>
              </w:rPr>
              <w:t>10中标人</w:t>
            </w:r>
            <w:r>
              <w:rPr>
                <w:rFonts w:hint="eastAsia" w:ascii="仿宋_GB2312" w:hAnsi="仿宋_GB2312" w:eastAsia="仿宋_GB2312" w:cs="仿宋_GB2312"/>
                <w:bCs/>
                <w:spacing w:val="0"/>
                <w:sz w:val="21"/>
                <w:szCs w:val="21"/>
                <w:lang w:eastAsia="zh-CN"/>
              </w:rPr>
              <w:t>如擅自终止合同，或提出其不具备继续履行本合同的能力（包括不履行维保义务的），或以任何理由提出需要</w:t>
            </w:r>
            <w:r>
              <w:rPr>
                <w:rFonts w:hint="eastAsia" w:ascii="仿宋_GB2312" w:hAnsi="仿宋_GB2312" w:eastAsia="仿宋_GB2312" w:cs="仿宋_GB2312"/>
                <w:bCs/>
                <w:spacing w:val="0"/>
                <w:sz w:val="21"/>
                <w:szCs w:val="21"/>
                <w:lang w:val="en-US" w:eastAsia="zh-CN"/>
              </w:rPr>
              <w:t>采购人</w:t>
            </w:r>
            <w:r>
              <w:rPr>
                <w:rFonts w:hint="eastAsia" w:ascii="仿宋_GB2312" w:hAnsi="仿宋_GB2312" w:eastAsia="仿宋_GB2312" w:cs="仿宋_GB2312"/>
                <w:bCs/>
                <w:spacing w:val="0"/>
                <w:sz w:val="21"/>
                <w:szCs w:val="21"/>
                <w:lang w:eastAsia="zh-CN"/>
              </w:rPr>
              <w:t>增加资金投入方可继续履行合同的，或未经</w:t>
            </w:r>
            <w:r>
              <w:rPr>
                <w:rFonts w:hint="eastAsia" w:ascii="仿宋_GB2312" w:hAnsi="仿宋_GB2312" w:eastAsia="仿宋_GB2312" w:cs="仿宋_GB2312"/>
                <w:bCs/>
                <w:spacing w:val="0"/>
                <w:sz w:val="21"/>
                <w:szCs w:val="21"/>
                <w:lang w:val="en-US" w:eastAsia="zh-CN"/>
              </w:rPr>
              <w:t>采购人</w:t>
            </w:r>
            <w:r>
              <w:rPr>
                <w:rFonts w:hint="eastAsia" w:ascii="仿宋_GB2312" w:hAnsi="仿宋_GB2312" w:eastAsia="仿宋_GB2312" w:cs="仿宋_GB2312"/>
                <w:bCs/>
                <w:spacing w:val="0"/>
                <w:sz w:val="21"/>
                <w:szCs w:val="21"/>
                <w:lang w:eastAsia="zh-CN"/>
              </w:rPr>
              <w:t>书面同意擅自向第三方转包或分包合同全部或部分权利义务的，</w:t>
            </w:r>
            <w:r>
              <w:rPr>
                <w:rFonts w:hint="eastAsia" w:ascii="仿宋_GB2312" w:hAnsi="仿宋_GB2312" w:eastAsia="仿宋_GB2312" w:cs="仿宋_GB2312"/>
                <w:bCs/>
                <w:spacing w:val="0"/>
                <w:sz w:val="21"/>
                <w:szCs w:val="21"/>
                <w:lang w:val="en-US" w:eastAsia="zh-CN"/>
              </w:rPr>
              <w:t>采购人</w:t>
            </w:r>
            <w:r>
              <w:rPr>
                <w:rFonts w:hint="eastAsia" w:ascii="仿宋_GB2312" w:hAnsi="仿宋_GB2312" w:eastAsia="仿宋_GB2312" w:cs="仿宋_GB2312"/>
                <w:bCs/>
                <w:spacing w:val="0"/>
                <w:sz w:val="21"/>
                <w:szCs w:val="21"/>
                <w:lang w:eastAsia="zh-CN"/>
              </w:rPr>
              <w:t>有权单方解除合同，如</w:t>
            </w:r>
            <w:r>
              <w:rPr>
                <w:rFonts w:hint="eastAsia" w:ascii="仿宋_GB2312" w:hAnsi="仿宋_GB2312" w:eastAsia="仿宋_GB2312" w:cs="仿宋_GB2312"/>
                <w:bCs/>
                <w:spacing w:val="0"/>
                <w:sz w:val="21"/>
                <w:szCs w:val="21"/>
                <w:lang w:val="en-US" w:eastAsia="zh-CN"/>
              </w:rPr>
              <w:t>采购人</w:t>
            </w:r>
            <w:r>
              <w:rPr>
                <w:rFonts w:hint="eastAsia" w:ascii="仿宋_GB2312" w:hAnsi="仿宋_GB2312" w:eastAsia="仿宋_GB2312" w:cs="仿宋_GB2312"/>
                <w:bCs/>
                <w:spacing w:val="0"/>
                <w:sz w:val="21"/>
                <w:szCs w:val="21"/>
                <w:lang w:eastAsia="zh-CN"/>
              </w:rPr>
              <w:t>已支付货款的</w:t>
            </w:r>
            <w:r>
              <w:rPr>
                <w:rFonts w:hint="eastAsia" w:ascii="仿宋_GB2312" w:hAnsi="仿宋_GB2312" w:eastAsia="仿宋_GB2312" w:cs="仿宋_GB2312"/>
                <w:bCs/>
                <w:spacing w:val="0"/>
                <w:sz w:val="21"/>
                <w:szCs w:val="21"/>
                <w:lang w:val="en-US" w:eastAsia="zh-CN"/>
              </w:rPr>
              <w:t>中标人</w:t>
            </w:r>
            <w:r>
              <w:rPr>
                <w:rFonts w:hint="eastAsia" w:ascii="仿宋_GB2312" w:hAnsi="仿宋_GB2312" w:eastAsia="仿宋_GB2312" w:cs="仿宋_GB2312"/>
                <w:bCs/>
                <w:spacing w:val="0"/>
                <w:sz w:val="21"/>
                <w:szCs w:val="21"/>
                <w:lang w:eastAsia="zh-CN"/>
              </w:rPr>
              <w:t>还应立即退还，且无需向</w:t>
            </w:r>
            <w:r>
              <w:rPr>
                <w:rFonts w:hint="eastAsia" w:ascii="仿宋_GB2312" w:hAnsi="仿宋_GB2312" w:eastAsia="仿宋_GB2312" w:cs="仿宋_GB2312"/>
                <w:bCs/>
                <w:spacing w:val="0"/>
                <w:sz w:val="21"/>
                <w:szCs w:val="21"/>
                <w:lang w:val="en-US" w:eastAsia="zh-CN"/>
              </w:rPr>
              <w:t>中标人</w:t>
            </w:r>
            <w:r>
              <w:rPr>
                <w:rFonts w:hint="eastAsia" w:ascii="仿宋_GB2312" w:hAnsi="仿宋_GB2312" w:eastAsia="仿宋_GB2312" w:cs="仿宋_GB2312"/>
                <w:bCs/>
                <w:spacing w:val="0"/>
                <w:sz w:val="21"/>
                <w:szCs w:val="21"/>
                <w:lang w:eastAsia="zh-CN"/>
              </w:rPr>
              <w:t>支付未付的合同价款，同时</w:t>
            </w:r>
            <w:r>
              <w:rPr>
                <w:rFonts w:hint="eastAsia" w:ascii="仿宋_GB2312" w:hAnsi="仿宋_GB2312" w:eastAsia="仿宋_GB2312" w:cs="仿宋_GB2312"/>
                <w:bCs/>
                <w:spacing w:val="0"/>
                <w:sz w:val="21"/>
                <w:szCs w:val="21"/>
                <w:lang w:val="en-US" w:eastAsia="zh-CN"/>
              </w:rPr>
              <w:t>中标人</w:t>
            </w:r>
            <w:r>
              <w:rPr>
                <w:rFonts w:hint="eastAsia" w:ascii="仿宋_GB2312" w:hAnsi="仿宋_GB2312" w:eastAsia="仿宋_GB2312" w:cs="仿宋_GB2312"/>
                <w:bCs/>
                <w:spacing w:val="0"/>
                <w:sz w:val="21"/>
                <w:szCs w:val="21"/>
                <w:lang w:eastAsia="zh-CN"/>
              </w:rPr>
              <w:t>应向</w:t>
            </w:r>
            <w:r>
              <w:rPr>
                <w:rFonts w:hint="eastAsia" w:ascii="仿宋_GB2312" w:hAnsi="仿宋_GB2312" w:eastAsia="仿宋_GB2312" w:cs="仿宋_GB2312"/>
                <w:bCs/>
                <w:spacing w:val="0"/>
                <w:sz w:val="21"/>
                <w:szCs w:val="21"/>
                <w:lang w:val="en-US" w:eastAsia="zh-CN"/>
              </w:rPr>
              <w:t>采购人</w:t>
            </w:r>
            <w:r>
              <w:rPr>
                <w:rFonts w:hint="eastAsia" w:ascii="仿宋_GB2312" w:hAnsi="仿宋_GB2312" w:eastAsia="仿宋_GB2312" w:cs="仿宋_GB2312"/>
                <w:bCs/>
                <w:spacing w:val="0"/>
                <w:sz w:val="21"/>
                <w:szCs w:val="21"/>
                <w:lang w:eastAsia="zh-CN"/>
              </w:rPr>
              <w:t>支付合同总价款的30%作为违约金。</w:t>
            </w:r>
          </w:p>
        </w:tc>
      </w:tr>
      <w:tr w14:paraId="1F6B5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123" w:type="dxa"/>
            <w:vMerge w:val="continue"/>
            <w:tcBorders>
              <w:top w:val="single" w:color="auto" w:sz="4" w:space="0"/>
              <w:left w:val="single" w:color="auto" w:sz="4" w:space="0"/>
              <w:bottom w:val="single" w:color="auto" w:sz="4" w:space="0"/>
              <w:right w:val="single" w:color="auto" w:sz="4" w:space="0"/>
            </w:tcBorders>
            <w:vAlign w:val="center"/>
          </w:tcPr>
          <w:p w14:paraId="073285D4">
            <w:pPr>
              <w:spacing w:line="340" w:lineRule="exact"/>
              <w:jc w:val="center"/>
              <w:rPr>
                <w:rFonts w:hint="eastAsia" w:ascii="仿宋_GB2312" w:hAnsi="仿宋_GB2312" w:eastAsia="仿宋_GB2312" w:cs="仿宋_GB2312"/>
                <w:bCs/>
                <w:szCs w:val="21"/>
              </w:rPr>
            </w:pPr>
          </w:p>
        </w:tc>
        <w:tc>
          <w:tcPr>
            <w:tcW w:w="1757" w:type="dxa"/>
            <w:vMerge w:val="continue"/>
            <w:tcBorders>
              <w:top w:val="single" w:color="auto" w:sz="4" w:space="0"/>
              <w:left w:val="single" w:color="auto" w:sz="4" w:space="0"/>
              <w:bottom w:val="single" w:color="auto" w:sz="4" w:space="0"/>
              <w:right w:val="single" w:color="auto" w:sz="4" w:space="0"/>
            </w:tcBorders>
            <w:vAlign w:val="center"/>
          </w:tcPr>
          <w:p w14:paraId="15FEA4AF">
            <w:pPr>
              <w:spacing w:line="340" w:lineRule="exact"/>
              <w:jc w:val="center"/>
              <w:rPr>
                <w:rFonts w:hint="eastAsia" w:ascii="仿宋_GB2312" w:hAnsi="仿宋_GB2312" w:eastAsia="仿宋_GB2312" w:cs="仿宋_GB2312"/>
                <w:szCs w:val="21"/>
              </w:rPr>
            </w:pPr>
          </w:p>
        </w:tc>
        <w:tc>
          <w:tcPr>
            <w:tcW w:w="5940" w:type="dxa"/>
            <w:tcBorders>
              <w:top w:val="single" w:color="auto" w:sz="4" w:space="0"/>
              <w:left w:val="single" w:color="auto" w:sz="4" w:space="0"/>
              <w:bottom w:val="single" w:color="auto" w:sz="4" w:space="0"/>
              <w:right w:val="single" w:color="auto" w:sz="4" w:space="0"/>
            </w:tcBorders>
            <w:vAlign w:val="top"/>
          </w:tcPr>
          <w:p w14:paraId="2ECC4F0A">
            <w:pPr>
              <w:pStyle w:val="6"/>
              <w:widowControl/>
              <w:kinsoku w:val="0"/>
              <w:autoSpaceDE w:val="0"/>
              <w:autoSpaceDN w:val="0"/>
              <w:adjustRightInd w:val="0"/>
              <w:snapToGrid w:val="0"/>
              <w:spacing w:line="340" w:lineRule="exact"/>
              <w:jc w:val="left"/>
              <w:textAlignment w:val="baseline"/>
              <w:rPr>
                <w:rFonts w:hint="eastAsia" w:ascii="仿宋_GB2312" w:hAnsi="仿宋_GB2312" w:eastAsia="仿宋_GB2312" w:cs="仿宋_GB2312"/>
                <w:color w:val="auto"/>
                <w:szCs w:val="21"/>
                <w:highlight w:val="none"/>
              </w:rPr>
            </w:pPr>
            <w:r>
              <w:rPr>
                <w:rFonts w:hint="eastAsia" w:ascii="仿宋_GB2312" w:hAnsi="仿宋_GB2312" w:eastAsia="仿宋_GB2312" w:cs="仿宋_GB2312"/>
                <w:b w:val="0"/>
                <w:bCs/>
                <w:color w:val="auto"/>
                <w:sz w:val="21"/>
                <w:szCs w:val="21"/>
                <w:lang w:val="en-US" w:eastAsia="zh-CN"/>
              </w:rPr>
              <w:t>3.11采购人及</w:t>
            </w:r>
            <w:r>
              <w:rPr>
                <w:rFonts w:hint="eastAsia" w:ascii="仿宋_GB2312" w:hAnsi="仿宋_GB2312" w:eastAsia="仿宋_GB2312" w:cs="仿宋_GB2312"/>
                <w:b w:val="0"/>
                <w:color w:val="auto"/>
                <w:spacing w:val="0"/>
                <w:sz w:val="21"/>
                <w:szCs w:val="21"/>
                <w:lang w:val="en-US" w:eastAsia="zh-CN"/>
              </w:rPr>
              <w:t>中标人</w:t>
            </w:r>
            <w:r>
              <w:rPr>
                <w:rFonts w:hint="eastAsia" w:ascii="仿宋_GB2312" w:hAnsi="仿宋_GB2312" w:eastAsia="仿宋_GB2312" w:cs="仿宋_GB2312"/>
                <w:b w:val="0"/>
                <w:color w:val="auto"/>
                <w:spacing w:val="0"/>
                <w:sz w:val="21"/>
                <w:szCs w:val="21"/>
                <w:lang w:eastAsia="zh-CN"/>
              </w:rPr>
              <w:t>均应认真履行合同，如一方不履行合同或单方解除本合同，则违约方应按合同总价的30%向对方承担违约责任，违约金不足以弥补损失的，还应赔偿相应损失，</w:t>
            </w:r>
            <w:r>
              <w:rPr>
                <w:rFonts w:hint="eastAsia" w:ascii="仿宋_GB2312" w:hAnsi="仿宋_GB2312" w:eastAsia="仿宋_GB2312" w:cs="仿宋_GB2312"/>
                <w:b w:val="0"/>
                <w:color w:val="auto"/>
                <w:spacing w:val="0"/>
                <w:sz w:val="21"/>
                <w:szCs w:val="21"/>
                <w:lang w:val="en-US" w:eastAsia="zh-CN"/>
              </w:rPr>
              <w:t>采购人</w:t>
            </w:r>
            <w:r>
              <w:rPr>
                <w:rFonts w:hint="eastAsia" w:ascii="仿宋_GB2312" w:hAnsi="仿宋_GB2312" w:eastAsia="仿宋_GB2312" w:cs="仿宋_GB2312"/>
                <w:b w:val="0"/>
                <w:color w:val="auto"/>
                <w:spacing w:val="0"/>
                <w:sz w:val="21"/>
                <w:szCs w:val="21"/>
                <w:lang w:eastAsia="zh-CN"/>
              </w:rPr>
              <w:t>违反本条约定的，还应退</w:t>
            </w:r>
            <w:r>
              <w:rPr>
                <w:rFonts w:hint="eastAsia" w:ascii="仿宋_GB2312" w:hAnsi="仿宋_GB2312" w:eastAsia="仿宋_GB2312" w:cs="仿宋_GB2312"/>
                <w:b w:val="0"/>
                <w:color w:val="auto"/>
                <w:spacing w:val="0"/>
                <w:sz w:val="21"/>
                <w:szCs w:val="21"/>
                <w:lang w:val="en-US" w:eastAsia="zh-CN"/>
              </w:rPr>
              <w:t>采购人</w:t>
            </w:r>
            <w:r>
              <w:rPr>
                <w:rFonts w:hint="eastAsia" w:ascii="仿宋_GB2312" w:hAnsi="仿宋_GB2312" w:eastAsia="仿宋_GB2312" w:cs="仿宋_GB2312"/>
                <w:b w:val="0"/>
                <w:color w:val="auto"/>
                <w:spacing w:val="0"/>
                <w:sz w:val="21"/>
                <w:szCs w:val="21"/>
                <w:lang w:eastAsia="zh-CN"/>
              </w:rPr>
              <w:t>方已经支付给</w:t>
            </w:r>
            <w:r>
              <w:rPr>
                <w:rFonts w:hint="eastAsia" w:ascii="仿宋_GB2312" w:hAnsi="仿宋_GB2312" w:eastAsia="仿宋_GB2312" w:cs="仿宋_GB2312"/>
                <w:b w:val="0"/>
                <w:color w:val="auto"/>
                <w:spacing w:val="0"/>
                <w:sz w:val="21"/>
                <w:szCs w:val="21"/>
                <w:lang w:val="en-US" w:eastAsia="zh-CN"/>
              </w:rPr>
              <w:t>中标人</w:t>
            </w:r>
            <w:r>
              <w:rPr>
                <w:rFonts w:hint="eastAsia" w:ascii="仿宋_GB2312" w:hAnsi="仿宋_GB2312" w:eastAsia="仿宋_GB2312" w:cs="仿宋_GB2312"/>
                <w:b w:val="0"/>
                <w:color w:val="auto"/>
                <w:spacing w:val="0"/>
                <w:sz w:val="21"/>
                <w:szCs w:val="21"/>
                <w:lang w:eastAsia="zh-CN"/>
              </w:rPr>
              <w:t>的货款。</w:t>
            </w:r>
          </w:p>
        </w:tc>
      </w:tr>
      <w:tr w14:paraId="2AF2B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123" w:type="dxa"/>
            <w:tcBorders>
              <w:top w:val="single" w:color="auto" w:sz="4" w:space="0"/>
              <w:left w:val="single" w:color="auto" w:sz="4" w:space="0"/>
              <w:bottom w:val="single" w:color="auto" w:sz="4" w:space="0"/>
              <w:right w:val="single" w:color="auto" w:sz="4" w:space="0"/>
            </w:tcBorders>
            <w:vAlign w:val="center"/>
          </w:tcPr>
          <w:p w14:paraId="246A4DF8">
            <w:pPr>
              <w:spacing w:line="3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4</w:t>
            </w:r>
          </w:p>
        </w:tc>
        <w:tc>
          <w:tcPr>
            <w:tcW w:w="1757" w:type="dxa"/>
            <w:tcBorders>
              <w:top w:val="single" w:color="auto" w:sz="4" w:space="0"/>
              <w:left w:val="single" w:color="auto" w:sz="4" w:space="0"/>
              <w:bottom w:val="single" w:color="auto" w:sz="4" w:space="0"/>
              <w:right w:val="single" w:color="auto" w:sz="4" w:space="0"/>
            </w:tcBorders>
            <w:vAlign w:val="center"/>
          </w:tcPr>
          <w:p w14:paraId="7703F635">
            <w:pPr>
              <w:spacing w:line="340" w:lineRule="exact"/>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rPr>
              <w:t>付款</w:t>
            </w:r>
            <w:r>
              <w:rPr>
                <w:rFonts w:hint="eastAsia" w:ascii="仿宋_GB2312" w:hAnsi="仿宋_GB2312" w:eastAsia="仿宋_GB2312" w:cs="仿宋_GB2312"/>
                <w:szCs w:val="21"/>
                <w:lang w:val="en-US" w:eastAsia="zh-CN"/>
              </w:rPr>
              <w:t>方式</w:t>
            </w:r>
          </w:p>
        </w:tc>
        <w:tc>
          <w:tcPr>
            <w:tcW w:w="5940" w:type="dxa"/>
            <w:tcBorders>
              <w:top w:val="single" w:color="auto" w:sz="4" w:space="0"/>
              <w:left w:val="single" w:color="auto" w:sz="4" w:space="0"/>
              <w:bottom w:val="single" w:color="auto" w:sz="4" w:space="0"/>
              <w:right w:val="single" w:color="auto" w:sz="4" w:space="0"/>
            </w:tcBorders>
          </w:tcPr>
          <w:p w14:paraId="4F01CDA0">
            <w:pPr>
              <w:spacing w:line="340" w:lineRule="exact"/>
              <w:jc w:val="left"/>
              <w:rPr>
                <w:rFonts w:ascii="仿宋_GB2312" w:hAnsi="仿宋_GB2312" w:eastAsia="仿宋_GB2312" w:cs="仿宋_GB2312"/>
                <w:b/>
                <w:szCs w:val="21"/>
                <w:highlight w:val="none"/>
              </w:rPr>
            </w:pPr>
            <w:r>
              <w:rPr>
                <w:rFonts w:hint="eastAsia" w:ascii="仿宋_GB2312" w:hAnsi="仿宋_GB2312" w:eastAsia="仿宋_GB2312" w:cs="仿宋_GB2312"/>
                <w:szCs w:val="21"/>
              </w:rPr>
              <w:t>★中标单位满足合同约定的全部支付条件，经采购人验收合格并签字确认后，开具正规、合法发票。采购人确认收到发票</w:t>
            </w:r>
            <w:r>
              <w:rPr>
                <w:rFonts w:hint="eastAsia" w:ascii="仿宋_GB2312" w:hAnsi="仿宋_GB2312" w:eastAsia="仿宋_GB2312" w:cs="仿宋_GB2312"/>
                <w:szCs w:val="21"/>
                <w:lang w:val="en-US" w:eastAsia="zh-CN"/>
              </w:rPr>
              <w:t>后</w:t>
            </w:r>
            <w:r>
              <w:rPr>
                <w:rFonts w:hint="eastAsia" w:ascii="仿宋_GB2312" w:hAnsi="仿宋_GB2312" w:eastAsia="仿宋_GB2312" w:cs="仿宋_GB2312"/>
                <w:szCs w:val="21"/>
              </w:rPr>
              <w:t>向中标单位指定账户支付全款。</w:t>
            </w:r>
          </w:p>
        </w:tc>
      </w:tr>
      <w:tr w14:paraId="1FC38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123" w:type="dxa"/>
            <w:tcBorders>
              <w:top w:val="single" w:color="auto" w:sz="4" w:space="0"/>
              <w:left w:val="single" w:color="auto" w:sz="4" w:space="0"/>
              <w:bottom w:val="single" w:color="auto" w:sz="4" w:space="0"/>
              <w:right w:val="single" w:color="auto" w:sz="4" w:space="0"/>
            </w:tcBorders>
            <w:vAlign w:val="center"/>
          </w:tcPr>
          <w:p w14:paraId="7BF787B6">
            <w:pPr>
              <w:spacing w:line="3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5</w:t>
            </w:r>
          </w:p>
        </w:tc>
        <w:tc>
          <w:tcPr>
            <w:tcW w:w="1757" w:type="dxa"/>
            <w:tcBorders>
              <w:top w:val="single" w:color="auto" w:sz="4" w:space="0"/>
              <w:left w:val="single" w:color="auto" w:sz="4" w:space="0"/>
              <w:bottom w:val="single" w:color="auto" w:sz="4" w:space="0"/>
              <w:right w:val="single" w:color="auto" w:sz="4" w:space="0"/>
            </w:tcBorders>
            <w:vAlign w:val="center"/>
          </w:tcPr>
          <w:p w14:paraId="465152AF">
            <w:pPr>
              <w:spacing w:line="340" w:lineRule="exact"/>
              <w:jc w:val="center"/>
              <w:rPr>
                <w:rFonts w:ascii="仿宋_GB2312" w:hAnsi="仿宋_GB2312" w:eastAsia="仿宋_GB2312" w:cs="仿宋_GB2312"/>
                <w:szCs w:val="21"/>
              </w:rPr>
            </w:pPr>
            <w:r>
              <w:rPr>
                <w:rFonts w:hint="eastAsia" w:ascii="仿宋_GB2312" w:hAnsi="仿宋_GB2312" w:eastAsia="仿宋_GB2312" w:cs="仿宋_GB2312"/>
                <w:szCs w:val="21"/>
              </w:rPr>
              <w:t>报价要求</w:t>
            </w:r>
          </w:p>
        </w:tc>
        <w:tc>
          <w:tcPr>
            <w:tcW w:w="5940" w:type="dxa"/>
            <w:tcBorders>
              <w:top w:val="single" w:color="auto" w:sz="4" w:space="0"/>
              <w:left w:val="single" w:color="auto" w:sz="4" w:space="0"/>
              <w:bottom w:val="single" w:color="auto" w:sz="4" w:space="0"/>
              <w:right w:val="single" w:color="auto" w:sz="4" w:space="0"/>
            </w:tcBorders>
          </w:tcPr>
          <w:p w14:paraId="5C053139">
            <w:pPr>
              <w:spacing w:line="340" w:lineRule="exact"/>
              <w:jc w:val="left"/>
              <w:rPr>
                <w:rFonts w:ascii="仿宋_GB2312" w:hAnsi="仿宋_GB2312" w:eastAsia="仿宋_GB2312" w:cs="仿宋_GB2312"/>
                <w:bCs/>
                <w:szCs w:val="21"/>
              </w:rPr>
            </w:pPr>
            <w:r>
              <w:rPr>
                <w:rFonts w:hint="eastAsia" w:ascii="仿宋_GB2312" w:hAnsi="仿宋_GB2312" w:eastAsia="仿宋_GB2312" w:cs="仿宋_GB2312"/>
                <w:color w:val="auto"/>
                <w:szCs w:val="21"/>
              </w:rPr>
              <w:t>★</w:t>
            </w:r>
            <w:r>
              <w:rPr>
                <w:rFonts w:hint="eastAsia" w:ascii="仿宋_GB2312" w:hAnsi="仿宋_GB2312" w:eastAsia="仿宋_GB2312" w:cs="仿宋_GB2312"/>
                <w:bCs/>
                <w:szCs w:val="21"/>
              </w:rPr>
              <w:t>投标总价是完成该项目的一切费用总和，</w:t>
            </w:r>
            <w:r>
              <w:rPr>
                <w:rFonts w:hint="eastAsia" w:ascii="仿宋_GB2312" w:hAnsi="仿宋_GB2312" w:eastAsia="仿宋_GB2312" w:cs="仿宋_GB2312"/>
                <w:bCs/>
                <w:snapToGrid/>
                <w:color w:val="auto"/>
                <w:spacing w:val="0"/>
                <w:sz w:val="21"/>
                <w:szCs w:val="21"/>
                <w:lang w:val="en-US" w:eastAsia="zh-CN" w:bidi="ar-SA"/>
              </w:rPr>
              <w:t>包括完成采购项目所需的一切费用，即：设备费、软件费、税费、运输费、装卸费、安装费、调试费、培训费、计量及技术服务费、外贸服务费和一切不可预见等费用，项目结算时不做任何单价或费用的调整(因数量变更除外)。</w:t>
            </w:r>
          </w:p>
        </w:tc>
      </w:tr>
      <w:tr w14:paraId="435C1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1123" w:type="dxa"/>
            <w:vMerge w:val="restart"/>
            <w:tcBorders>
              <w:top w:val="single" w:color="auto" w:sz="4" w:space="0"/>
              <w:left w:val="single" w:color="auto" w:sz="4" w:space="0"/>
              <w:right w:val="single" w:color="auto" w:sz="4" w:space="0"/>
            </w:tcBorders>
            <w:vAlign w:val="center"/>
          </w:tcPr>
          <w:p w14:paraId="6CA6CE29">
            <w:pPr>
              <w:spacing w:line="340" w:lineRule="exact"/>
              <w:jc w:val="center"/>
              <w:rPr>
                <w:rFonts w:hint="eastAsia" w:ascii="仿宋_GB2312" w:hAnsi="仿宋_GB2312" w:eastAsia="仿宋_GB2312" w:cs="仿宋_GB2312"/>
                <w:bCs/>
                <w:szCs w:val="21"/>
                <w:lang w:val="en-US" w:eastAsia="zh-CN"/>
              </w:rPr>
            </w:pPr>
            <w:r>
              <w:rPr>
                <w:rFonts w:hint="eastAsia" w:ascii="仿宋_GB2312" w:hAnsi="仿宋_GB2312" w:eastAsia="仿宋_GB2312" w:cs="仿宋_GB2312"/>
                <w:bCs/>
                <w:szCs w:val="21"/>
                <w:lang w:val="en-US" w:eastAsia="zh-CN"/>
              </w:rPr>
              <w:t>6</w:t>
            </w:r>
          </w:p>
        </w:tc>
        <w:tc>
          <w:tcPr>
            <w:tcW w:w="1757" w:type="dxa"/>
            <w:vMerge w:val="restart"/>
            <w:tcBorders>
              <w:top w:val="single" w:color="auto" w:sz="4" w:space="0"/>
              <w:left w:val="single" w:color="auto" w:sz="4" w:space="0"/>
              <w:right w:val="single" w:color="auto" w:sz="4" w:space="0"/>
            </w:tcBorders>
            <w:vAlign w:val="center"/>
          </w:tcPr>
          <w:p w14:paraId="021EE149">
            <w:pPr>
              <w:spacing w:line="340" w:lineRule="exact"/>
              <w:jc w:val="center"/>
              <w:rPr>
                <w:rFonts w:hint="default" w:ascii="仿宋_GB2312" w:hAnsi="仿宋_GB2312" w:eastAsia="仿宋_GB2312" w:cs="仿宋_GB2312"/>
                <w:szCs w:val="21"/>
                <w:lang w:val="en-US"/>
              </w:rPr>
            </w:pPr>
            <w:r>
              <w:rPr>
                <w:rFonts w:hint="eastAsia" w:ascii="仿宋_GB2312" w:hAnsi="仿宋_GB2312" w:eastAsia="仿宋_GB2312" w:cs="仿宋_GB2312"/>
                <w:color w:val="auto"/>
                <w:szCs w:val="21"/>
              </w:rPr>
              <w:t>★</w:t>
            </w:r>
            <w:r>
              <w:rPr>
                <w:rFonts w:hint="eastAsia" w:ascii="仿宋_GB2312" w:hAnsi="仿宋_GB2312" w:eastAsia="仿宋_GB2312" w:cs="仿宋_GB2312"/>
                <w:szCs w:val="21"/>
                <w:lang w:val="en-US" w:eastAsia="zh-CN"/>
              </w:rPr>
              <w:t>质量要求及安全责任</w:t>
            </w:r>
          </w:p>
        </w:tc>
        <w:tc>
          <w:tcPr>
            <w:tcW w:w="5940" w:type="dxa"/>
            <w:tcBorders>
              <w:top w:val="single" w:color="auto" w:sz="4" w:space="0"/>
              <w:left w:val="single" w:color="auto" w:sz="4" w:space="0"/>
              <w:bottom w:val="single" w:color="auto" w:sz="4" w:space="0"/>
              <w:right w:val="single" w:color="auto" w:sz="4" w:space="0"/>
            </w:tcBorders>
          </w:tcPr>
          <w:p w14:paraId="493FD1DF">
            <w:pPr>
              <w:spacing w:line="340" w:lineRule="exact"/>
              <w:jc w:val="left"/>
              <w:rPr>
                <w:rFonts w:hint="eastAsia" w:ascii="仿宋_GB2312" w:hAnsi="仿宋_GB2312" w:eastAsia="仿宋_GB2312" w:cs="仿宋_GB2312"/>
                <w:color w:val="FF0000"/>
                <w:szCs w:val="21"/>
                <w:lang w:eastAsia="zh-CN"/>
              </w:rPr>
            </w:pPr>
            <w:r>
              <w:rPr>
                <w:rFonts w:hint="eastAsia" w:ascii="仿宋_GB2312" w:hAnsi="仿宋_GB2312" w:eastAsia="仿宋_GB2312" w:cs="仿宋_GB2312"/>
                <w:color w:val="auto"/>
                <w:szCs w:val="21"/>
                <w:lang w:val="en-US" w:eastAsia="zh-CN"/>
              </w:rPr>
              <w:t>6.1</w:t>
            </w:r>
            <w:r>
              <w:rPr>
                <w:rFonts w:hint="eastAsia" w:ascii="仿宋_GB2312" w:hAnsi="仿宋_GB2312" w:eastAsia="仿宋_GB2312" w:cs="仿宋_GB2312"/>
                <w:bCs/>
                <w:szCs w:val="21"/>
                <w:highlight w:val="none"/>
                <w:lang w:val="en-US" w:eastAsia="zh-CN"/>
              </w:rPr>
              <w:t>投标人</w:t>
            </w:r>
            <w:r>
              <w:rPr>
                <w:rFonts w:hint="eastAsia" w:ascii="仿宋_GB2312" w:hAnsi="仿宋_GB2312" w:eastAsia="仿宋_GB2312" w:cs="仿宋_GB2312"/>
                <w:bCs/>
                <w:szCs w:val="21"/>
                <w:highlight w:val="none"/>
                <w:lang w:eastAsia="zh-CN"/>
              </w:rPr>
              <w:t>保证所提供的产品必须</w:t>
            </w:r>
            <w:r>
              <w:rPr>
                <w:rFonts w:hint="eastAsia" w:ascii="仿宋_GB2312" w:hAnsi="仿宋_GB2312" w:eastAsia="仿宋_GB2312" w:cs="仿宋_GB2312"/>
                <w:bCs/>
                <w:szCs w:val="21"/>
                <w:highlight w:val="none"/>
                <w:lang w:val="en-US" w:eastAsia="zh-CN"/>
              </w:rPr>
              <w:t>是</w:t>
            </w:r>
            <w:r>
              <w:rPr>
                <w:rFonts w:hint="eastAsia" w:ascii="仿宋_GB2312" w:hAnsi="仿宋_GB2312" w:eastAsia="仿宋_GB2312" w:cs="仿宋_GB2312"/>
                <w:bCs/>
                <w:szCs w:val="21"/>
                <w:highlight w:val="none"/>
                <w:lang w:eastAsia="zh-CN"/>
              </w:rPr>
              <w:t>生产日期在一年内未使用过的</w:t>
            </w:r>
            <w:r>
              <w:rPr>
                <w:rFonts w:hint="eastAsia" w:ascii="仿宋_GB2312" w:hAnsi="仿宋_GB2312" w:eastAsia="仿宋_GB2312" w:cs="仿宋_GB2312"/>
                <w:bCs/>
                <w:szCs w:val="21"/>
                <w:highlight w:val="none"/>
                <w:lang w:val="en-US" w:eastAsia="zh-CN"/>
              </w:rPr>
              <w:t>原厂</w:t>
            </w:r>
            <w:r>
              <w:rPr>
                <w:rFonts w:hint="eastAsia" w:ascii="仿宋_GB2312" w:hAnsi="仿宋_GB2312" w:eastAsia="仿宋_GB2312" w:cs="仿宋_GB2312"/>
                <w:bCs/>
                <w:szCs w:val="21"/>
                <w:highlight w:val="none"/>
                <w:lang w:eastAsia="zh-CN"/>
              </w:rPr>
              <w:t>全新产品（</w:t>
            </w:r>
            <w:r>
              <w:rPr>
                <w:rFonts w:hint="eastAsia" w:ascii="仿宋_GB2312" w:hAnsi="仿宋_GB2312" w:eastAsia="仿宋_GB2312" w:cs="仿宋_GB2312"/>
                <w:bCs/>
                <w:szCs w:val="21"/>
                <w:highlight w:val="none"/>
                <w:lang w:val="en-US" w:eastAsia="zh-CN"/>
              </w:rPr>
              <w:t>包括零部件</w:t>
            </w:r>
            <w:r>
              <w:rPr>
                <w:rFonts w:hint="eastAsia" w:ascii="仿宋_GB2312" w:hAnsi="仿宋_GB2312" w:eastAsia="仿宋_GB2312" w:cs="仿宋_GB2312"/>
                <w:bCs/>
                <w:szCs w:val="21"/>
                <w:highlight w:val="none"/>
                <w:lang w:eastAsia="zh-CN"/>
              </w:rPr>
              <w:t>），符合国家或省级行业质量标准。确保产品投入使用前，按照国家规定办理好产品所有启用所需的资质证件。</w:t>
            </w:r>
            <w:r>
              <w:rPr>
                <w:rFonts w:hint="eastAsia" w:ascii="仿宋_GB2312" w:hAnsi="仿宋_GB2312" w:eastAsia="仿宋_GB2312" w:cs="仿宋_GB2312"/>
                <w:bCs/>
                <w:szCs w:val="21"/>
                <w:highlight w:val="none"/>
              </w:rPr>
              <w:t>进口设备必须具有厂商产品授权书、进口货物报关单、入境货物检验检疫证明、产品合格证明等文件，相关鉴定报告、证明文件在货物交接时一并提供</w:t>
            </w:r>
            <w:r>
              <w:rPr>
                <w:rFonts w:hint="eastAsia" w:ascii="仿宋_GB2312" w:hAnsi="仿宋_GB2312" w:eastAsia="仿宋_GB2312" w:cs="仿宋_GB2312"/>
                <w:bCs/>
                <w:szCs w:val="21"/>
                <w:highlight w:val="none"/>
                <w:lang w:eastAsia="zh-CN"/>
              </w:rPr>
              <w:t>。</w:t>
            </w:r>
          </w:p>
        </w:tc>
      </w:tr>
      <w:tr w14:paraId="1BB18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123" w:type="dxa"/>
            <w:vMerge w:val="continue"/>
            <w:tcBorders>
              <w:left w:val="single" w:color="auto" w:sz="4" w:space="0"/>
              <w:bottom w:val="single" w:color="auto" w:sz="4" w:space="0"/>
              <w:right w:val="single" w:color="auto" w:sz="4" w:space="0"/>
            </w:tcBorders>
            <w:vAlign w:val="center"/>
          </w:tcPr>
          <w:p w14:paraId="60F6604E">
            <w:pPr>
              <w:spacing w:line="340" w:lineRule="exact"/>
            </w:pPr>
          </w:p>
        </w:tc>
        <w:tc>
          <w:tcPr>
            <w:tcW w:w="1757" w:type="dxa"/>
            <w:vMerge w:val="continue"/>
            <w:tcBorders>
              <w:left w:val="single" w:color="auto" w:sz="4" w:space="0"/>
              <w:bottom w:val="single" w:color="auto" w:sz="4" w:space="0"/>
              <w:right w:val="single" w:color="auto" w:sz="4" w:space="0"/>
            </w:tcBorders>
            <w:vAlign w:val="center"/>
          </w:tcPr>
          <w:p w14:paraId="368AB1DD">
            <w:pPr>
              <w:spacing w:line="340" w:lineRule="exact"/>
            </w:pPr>
          </w:p>
        </w:tc>
        <w:tc>
          <w:tcPr>
            <w:tcW w:w="5940" w:type="dxa"/>
            <w:tcBorders>
              <w:top w:val="single" w:color="auto" w:sz="4" w:space="0"/>
              <w:left w:val="single" w:color="auto" w:sz="4" w:space="0"/>
              <w:bottom w:val="single" w:color="auto" w:sz="4" w:space="0"/>
              <w:right w:val="single" w:color="auto" w:sz="4" w:space="0"/>
            </w:tcBorders>
          </w:tcPr>
          <w:p w14:paraId="5D7AA440">
            <w:pPr>
              <w:spacing w:line="340" w:lineRule="exact"/>
              <w:jc w:val="left"/>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lang w:val="en-US" w:eastAsia="zh-CN"/>
              </w:rPr>
              <w:t>6.2</w:t>
            </w:r>
            <w:r>
              <w:rPr>
                <w:rFonts w:hint="eastAsia" w:ascii="仿宋_GB2312" w:hAnsi="仿宋_GB2312" w:eastAsia="仿宋_GB2312" w:cs="仿宋_GB2312"/>
                <w:color w:val="auto"/>
                <w:szCs w:val="21"/>
              </w:rPr>
              <w:t>因产品质量引起患者伤害、造成医院经济损失由</w:t>
            </w:r>
            <w:r>
              <w:rPr>
                <w:rFonts w:hint="eastAsia" w:ascii="仿宋_GB2312" w:hAnsi="仿宋_GB2312" w:eastAsia="仿宋_GB2312" w:cs="仿宋_GB2312"/>
                <w:color w:val="auto"/>
                <w:szCs w:val="21"/>
                <w:lang w:val="en-US" w:eastAsia="zh-CN"/>
              </w:rPr>
              <w:t>中标人</w:t>
            </w:r>
            <w:r>
              <w:rPr>
                <w:rFonts w:hint="eastAsia" w:ascii="仿宋_GB2312" w:hAnsi="仿宋_GB2312" w:eastAsia="仿宋_GB2312" w:cs="仿宋_GB2312"/>
                <w:color w:val="auto"/>
                <w:szCs w:val="21"/>
              </w:rPr>
              <w:t>出面协商、赔偿。</w:t>
            </w:r>
            <w:r>
              <w:rPr>
                <w:rFonts w:hint="eastAsia" w:ascii="仿宋_GB2312" w:hAnsi="仿宋_GB2312" w:eastAsia="仿宋_GB2312" w:cs="仿宋_GB2312"/>
                <w:color w:val="auto"/>
                <w:szCs w:val="21"/>
                <w:lang w:val="en-US" w:eastAsia="zh-CN"/>
              </w:rPr>
              <w:t>采购人</w:t>
            </w:r>
            <w:r>
              <w:rPr>
                <w:rFonts w:hint="eastAsia" w:ascii="仿宋_GB2312" w:hAnsi="仿宋_GB2312" w:eastAsia="仿宋_GB2312" w:cs="仿宋_GB2312"/>
                <w:color w:val="auto"/>
                <w:szCs w:val="21"/>
              </w:rPr>
              <w:t>可协助解决，若造成</w:t>
            </w:r>
            <w:r>
              <w:rPr>
                <w:rFonts w:hint="eastAsia" w:ascii="仿宋_GB2312" w:hAnsi="仿宋_GB2312" w:eastAsia="仿宋_GB2312" w:cs="仿宋_GB2312"/>
                <w:color w:val="auto"/>
                <w:szCs w:val="21"/>
                <w:lang w:val="en-US" w:eastAsia="zh-CN"/>
              </w:rPr>
              <w:t>采购人</w:t>
            </w:r>
            <w:r>
              <w:rPr>
                <w:rFonts w:hint="eastAsia" w:ascii="仿宋_GB2312" w:hAnsi="仿宋_GB2312" w:eastAsia="仿宋_GB2312" w:cs="仿宋_GB2312"/>
                <w:color w:val="auto"/>
                <w:szCs w:val="21"/>
              </w:rPr>
              <w:t>损失的，</w:t>
            </w:r>
            <w:r>
              <w:rPr>
                <w:rFonts w:hint="eastAsia" w:ascii="仿宋_GB2312" w:hAnsi="仿宋_GB2312" w:eastAsia="仿宋_GB2312" w:cs="仿宋_GB2312"/>
                <w:color w:val="auto"/>
                <w:szCs w:val="21"/>
                <w:lang w:val="en-US" w:eastAsia="zh-CN"/>
              </w:rPr>
              <w:t>中标人</w:t>
            </w:r>
            <w:r>
              <w:rPr>
                <w:rFonts w:hint="eastAsia" w:ascii="仿宋_GB2312" w:hAnsi="仿宋_GB2312" w:eastAsia="仿宋_GB2312" w:cs="仿宋_GB2312"/>
                <w:color w:val="auto"/>
                <w:szCs w:val="21"/>
              </w:rPr>
              <w:t>需向</w:t>
            </w:r>
            <w:r>
              <w:rPr>
                <w:rFonts w:hint="eastAsia" w:ascii="仿宋_GB2312" w:hAnsi="仿宋_GB2312" w:eastAsia="仿宋_GB2312" w:cs="仿宋_GB2312"/>
                <w:color w:val="auto"/>
                <w:szCs w:val="21"/>
                <w:lang w:val="en-US" w:eastAsia="zh-CN"/>
              </w:rPr>
              <w:t>采购人</w:t>
            </w:r>
            <w:r>
              <w:rPr>
                <w:rFonts w:hint="eastAsia" w:ascii="仿宋_GB2312" w:hAnsi="仿宋_GB2312" w:eastAsia="仿宋_GB2312" w:cs="仿宋_GB2312"/>
                <w:color w:val="auto"/>
                <w:szCs w:val="21"/>
              </w:rPr>
              <w:t>赔偿全部损失。</w:t>
            </w:r>
          </w:p>
        </w:tc>
      </w:tr>
      <w:tr w14:paraId="1A2BD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123" w:type="dxa"/>
            <w:vMerge w:val="continue"/>
            <w:tcBorders>
              <w:left w:val="single" w:color="auto" w:sz="4" w:space="0"/>
              <w:bottom w:val="single" w:color="auto" w:sz="4" w:space="0"/>
              <w:right w:val="single" w:color="auto" w:sz="4" w:space="0"/>
            </w:tcBorders>
            <w:vAlign w:val="center"/>
          </w:tcPr>
          <w:p w14:paraId="31BF36B0">
            <w:pPr>
              <w:spacing w:line="340" w:lineRule="exact"/>
            </w:pPr>
          </w:p>
        </w:tc>
        <w:tc>
          <w:tcPr>
            <w:tcW w:w="1757" w:type="dxa"/>
            <w:vMerge w:val="continue"/>
            <w:tcBorders>
              <w:left w:val="single" w:color="auto" w:sz="4" w:space="0"/>
              <w:bottom w:val="single" w:color="auto" w:sz="4" w:space="0"/>
              <w:right w:val="single" w:color="auto" w:sz="4" w:space="0"/>
            </w:tcBorders>
            <w:vAlign w:val="center"/>
          </w:tcPr>
          <w:p w14:paraId="7D941B15">
            <w:pPr>
              <w:spacing w:line="340" w:lineRule="exact"/>
            </w:pPr>
          </w:p>
        </w:tc>
        <w:tc>
          <w:tcPr>
            <w:tcW w:w="5940" w:type="dxa"/>
            <w:tcBorders>
              <w:top w:val="single" w:color="auto" w:sz="4" w:space="0"/>
              <w:left w:val="single" w:color="auto" w:sz="4" w:space="0"/>
              <w:bottom w:val="single" w:color="auto" w:sz="4" w:space="0"/>
              <w:right w:val="single" w:color="auto" w:sz="4" w:space="0"/>
            </w:tcBorders>
          </w:tcPr>
          <w:p w14:paraId="1250EBA2">
            <w:pPr>
              <w:spacing w:line="340" w:lineRule="exact"/>
              <w:jc w:val="left"/>
              <w:rPr>
                <w:rFonts w:hint="eastAsia" w:ascii="仿宋_GB2312" w:hAnsi="仿宋_GB2312" w:eastAsia="仿宋_GB2312" w:cs="仿宋_GB2312"/>
                <w:color w:val="auto"/>
                <w:szCs w:val="21"/>
                <w:lang w:val="en-US" w:eastAsia="zh-CN"/>
              </w:rPr>
            </w:pPr>
            <w:r>
              <w:rPr>
                <w:rFonts w:hint="eastAsia" w:ascii="仿宋_GB2312" w:hAnsi="仿宋_GB2312" w:eastAsia="仿宋_GB2312" w:cs="仿宋_GB2312"/>
                <w:color w:val="auto"/>
                <w:szCs w:val="21"/>
                <w:lang w:val="en-US" w:eastAsia="zh-CN"/>
              </w:rPr>
              <w:t>6.3中标人的服务人员必须持有与履行本招标文件服务相匹配的国家和有关部门规定的相应资质，包括有效的岗位证书及资格证书等。如涉及水、电、气产品安装及调试、室外高空作业等特殊项目，中标人承诺使用具有国家认可资质的操作人员，且资质证书仍在本合同有效期内。如因资质不符所造成的后果，中标人应承担全部责任。</w:t>
            </w:r>
          </w:p>
        </w:tc>
      </w:tr>
      <w:tr w14:paraId="47ADB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123" w:type="dxa"/>
            <w:tcBorders>
              <w:top w:val="single" w:color="auto" w:sz="4" w:space="0"/>
              <w:left w:val="single" w:color="auto" w:sz="4" w:space="0"/>
              <w:bottom w:val="single" w:color="auto" w:sz="4" w:space="0"/>
              <w:right w:val="single" w:color="auto" w:sz="4" w:space="0"/>
            </w:tcBorders>
            <w:vAlign w:val="center"/>
          </w:tcPr>
          <w:p w14:paraId="78082680">
            <w:pPr>
              <w:spacing w:line="340" w:lineRule="exact"/>
              <w:jc w:val="center"/>
              <w:rPr>
                <w:rFonts w:hint="default" w:ascii="仿宋_GB2312" w:hAnsi="仿宋_GB2312" w:eastAsia="仿宋_GB2312" w:cs="仿宋_GB2312"/>
                <w:bCs/>
                <w:szCs w:val="21"/>
                <w:lang w:val="en-US" w:eastAsia="zh-CN"/>
              </w:rPr>
            </w:pPr>
            <w:r>
              <w:rPr>
                <w:rFonts w:hint="eastAsia" w:ascii="仿宋_GB2312" w:hAnsi="仿宋_GB2312" w:eastAsia="仿宋_GB2312" w:cs="仿宋_GB2312"/>
                <w:bCs/>
                <w:szCs w:val="21"/>
                <w:lang w:val="en-US" w:eastAsia="zh-CN"/>
              </w:rPr>
              <w:t>7</w:t>
            </w:r>
          </w:p>
        </w:tc>
        <w:tc>
          <w:tcPr>
            <w:tcW w:w="1757" w:type="dxa"/>
            <w:tcBorders>
              <w:top w:val="single" w:color="auto" w:sz="4" w:space="0"/>
              <w:left w:val="single" w:color="auto" w:sz="4" w:space="0"/>
              <w:bottom w:val="single" w:color="auto" w:sz="4" w:space="0"/>
              <w:right w:val="single" w:color="auto" w:sz="4" w:space="0"/>
            </w:tcBorders>
            <w:vAlign w:val="center"/>
          </w:tcPr>
          <w:p w14:paraId="4644B3C9">
            <w:pPr>
              <w:spacing w:line="340" w:lineRule="exact"/>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知识产权</w:t>
            </w:r>
          </w:p>
        </w:tc>
        <w:tc>
          <w:tcPr>
            <w:tcW w:w="5940" w:type="dxa"/>
            <w:tcBorders>
              <w:top w:val="single" w:color="auto" w:sz="4" w:space="0"/>
              <w:left w:val="single" w:color="auto" w:sz="4" w:space="0"/>
              <w:bottom w:val="single" w:color="auto" w:sz="4" w:space="0"/>
              <w:right w:val="single" w:color="auto" w:sz="4" w:space="0"/>
            </w:tcBorders>
          </w:tcPr>
          <w:p w14:paraId="1B26A03C">
            <w:pPr>
              <w:spacing w:line="340" w:lineRule="exact"/>
              <w:jc w:val="left"/>
              <w:rPr>
                <w:rFonts w:hint="eastAsia" w:ascii="仿宋_GB2312" w:hAnsi="仿宋_GB2312" w:eastAsia="仿宋_GB2312" w:cs="仿宋_GB2312"/>
                <w:bCs/>
                <w:szCs w:val="21"/>
                <w:highlight w:val="yellow"/>
                <w:lang w:val="en-US" w:eastAsia="zh-CN"/>
              </w:rPr>
            </w:pPr>
            <w:r>
              <w:rPr>
                <w:rFonts w:hint="eastAsia" w:ascii="仿宋_GB2312" w:hAnsi="仿宋_GB2312" w:eastAsia="仿宋_GB2312" w:cs="仿宋_GB2312"/>
                <w:bCs/>
                <w:szCs w:val="21"/>
                <w:highlight w:val="none"/>
                <w:lang w:eastAsia="zh-CN"/>
              </w:rPr>
              <w:t>中标人</w:t>
            </w:r>
            <w:r>
              <w:rPr>
                <w:rFonts w:hint="eastAsia" w:ascii="仿宋_GB2312" w:hAnsi="仿宋_GB2312" w:eastAsia="仿宋_GB2312" w:cs="仿宋_GB2312"/>
                <w:bCs/>
                <w:szCs w:val="21"/>
                <w:highlight w:val="none"/>
              </w:rPr>
              <w:t>应保证</w:t>
            </w:r>
            <w:r>
              <w:rPr>
                <w:rFonts w:hint="eastAsia" w:ascii="仿宋_GB2312" w:hAnsi="仿宋_GB2312" w:eastAsia="仿宋_GB2312" w:cs="仿宋_GB2312"/>
                <w:bCs/>
                <w:szCs w:val="21"/>
                <w:highlight w:val="none"/>
                <w:lang w:eastAsia="zh-CN"/>
              </w:rPr>
              <w:t>采购人</w:t>
            </w:r>
            <w:r>
              <w:rPr>
                <w:rFonts w:hint="eastAsia" w:ascii="仿宋_GB2312" w:hAnsi="仿宋_GB2312" w:eastAsia="仿宋_GB2312" w:cs="仿宋_GB2312"/>
                <w:bCs/>
                <w:szCs w:val="21"/>
                <w:highlight w:val="none"/>
              </w:rPr>
              <w:t>在使用该货物或其任何一部分时，终身免受第三方提出的侵犯其专利权、商标权、著作权或其他知识产权的起诉。</w:t>
            </w:r>
            <w:r>
              <w:rPr>
                <w:rFonts w:hint="eastAsia" w:ascii="仿宋_GB2312" w:hAnsi="仿宋_GB2312" w:eastAsia="仿宋_GB2312" w:cs="仿宋_GB2312"/>
                <w:bCs/>
                <w:szCs w:val="21"/>
                <w:highlight w:val="none"/>
                <w:lang w:eastAsia="zh-CN"/>
              </w:rPr>
              <w:t>中标人</w:t>
            </w:r>
            <w:r>
              <w:rPr>
                <w:rFonts w:hint="eastAsia" w:ascii="仿宋_GB2312" w:hAnsi="仿宋_GB2312" w:eastAsia="仿宋_GB2312" w:cs="仿宋_GB2312"/>
                <w:bCs/>
                <w:szCs w:val="21"/>
                <w:highlight w:val="none"/>
              </w:rPr>
              <w:t>保证所提供软件的合法性，所发生的任何知识产权纠纷与</w:t>
            </w:r>
            <w:r>
              <w:rPr>
                <w:rFonts w:hint="eastAsia" w:ascii="仿宋_GB2312" w:hAnsi="仿宋_GB2312" w:eastAsia="仿宋_GB2312" w:cs="仿宋_GB2312"/>
                <w:bCs/>
                <w:szCs w:val="21"/>
                <w:highlight w:val="none"/>
                <w:lang w:eastAsia="zh-CN"/>
              </w:rPr>
              <w:t>采购人</w:t>
            </w:r>
            <w:r>
              <w:rPr>
                <w:rFonts w:hint="eastAsia" w:ascii="仿宋_GB2312" w:hAnsi="仿宋_GB2312" w:eastAsia="仿宋_GB2312" w:cs="仿宋_GB2312"/>
                <w:bCs/>
                <w:szCs w:val="21"/>
                <w:highlight w:val="none"/>
              </w:rPr>
              <w:t>无关。若因为知识产权纠纷造成的一切损害赔偿及损失由</w:t>
            </w:r>
            <w:r>
              <w:rPr>
                <w:rFonts w:hint="eastAsia" w:ascii="仿宋_GB2312" w:hAnsi="仿宋_GB2312" w:eastAsia="仿宋_GB2312" w:cs="仿宋_GB2312"/>
                <w:bCs/>
                <w:szCs w:val="21"/>
                <w:highlight w:val="none"/>
                <w:lang w:eastAsia="zh-CN"/>
              </w:rPr>
              <w:t>中标人</w:t>
            </w:r>
            <w:r>
              <w:rPr>
                <w:rFonts w:hint="eastAsia" w:ascii="仿宋_GB2312" w:hAnsi="仿宋_GB2312" w:eastAsia="仿宋_GB2312" w:cs="仿宋_GB2312"/>
                <w:bCs/>
                <w:szCs w:val="21"/>
                <w:highlight w:val="none"/>
              </w:rPr>
              <w:t>承担，包括但不限于实际损失、预期损失和对方要求赔偿损失及支出的诉讼费、律师费、交通费和差旅费等。</w:t>
            </w:r>
          </w:p>
        </w:tc>
      </w:tr>
      <w:tr w14:paraId="3DC64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123" w:type="dxa"/>
            <w:tcBorders>
              <w:top w:val="nil"/>
              <w:left w:val="single" w:color="auto" w:sz="4" w:space="0"/>
              <w:bottom w:val="single" w:color="auto" w:sz="4" w:space="0"/>
              <w:right w:val="single" w:color="auto" w:sz="4" w:space="0"/>
            </w:tcBorders>
            <w:vAlign w:val="center"/>
          </w:tcPr>
          <w:p w14:paraId="1E3AD322">
            <w:pPr>
              <w:spacing w:line="3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lang w:val="en-US" w:eastAsia="zh-CN"/>
              </w:rPr>
              <w:t>8</w:t>
            </w:r>
          </w:p>
        </w:tc>
        <w:tc>
          <w:tcPr>
            <w:tcW w:w="1757" w:type="dxa"/>
            <w:tcBorders>
              <w:top w:val="nil"/>
              <w:left w:val="single" w:color="auto" w:sz="4" w:space="0"/>
              <w:bottom w:val="single" w:color="auto" w:sz="4" w:space="0"/>
              <w:right w:val="single" w:color="auto" w:sz="4" w:space="0"/>
            </w:tcBorders>
            <w:vAlign w:val="center"/>
          </w:tcPr>
          <w:p w14:paraId="5B6D64D0">
            <w:pPr>
              <w:spacing w:line="340" w:lineRule="exact"/>
              <w:jc w:val="center"/>
              <w:rPr>
                <w:rFonts w:ascii="仿宋_GB2312" w:hAnsi="仿宋_GB2312" w:eastAsia="仿宋_GB2312" w:cs="仿宋_GB2312"/>
                <w:szCs w:val="21"/>
              </w:rPr>
            </w:pPr>
            <w:r>
              <w:rPr>
                <w:rFonts w:hint="eastAsia" w:ascii="仿宋_GB2312" w:hAnsi="仿宋_GB2312" w:eastAsia="仿宋_GB2312" w:cs="仿宋_GB2312"/>
                <w:szCs w:val="21"/>
              </w:rPr>
              <w:t>项目（产品）</w:t>
            </w:r>
            <w:r>
              <w:rPr>
                <w:rFonts w:hint="eastAsia" w:ascii="仿宋_GB2312" w:hAnsi="仿宋_GB2312" w:eastAsia="仿宋_GB2312" w:cs="仿宋_GB2312"/>
                <w:szCs w:val="21"/>
              </w:rPr>
              <w:br w:type="textWrapping"/>
            </w:r>
            <w:r>
              <w:rPr>
                <w:rFonts w:hint="eastAsia" w:ascii="仿宋_GB2312" w:hAnsi="仿宋_GB2312" w:eastAsia="仿宋_GB2312" w:cs="仿宋_GB2312"/>
                <w:szCs w:val="21"/>
              </w:rPr>
              <w:t>要求</w:t>
            </w:r>
          </w:p>
        </w:tc>
        <w:tc>
          <w:tcPr>
            <w:tcW w:w="5940" w:type="dxa"/>
            <w:tcBorders>
              <w:top w:val="single" w:color="auto" w:sz="4" w:space="0"/>
              <w:left w:val="single" w:color="auto" w:sz="4" w:space="0"/>
              <w:bottom w:val="single" w:color="auto" w:sz="4" w:space="0"/>
              <w:right w:val="single" w:color="auto" w:sz="4" w:space="0"/>
            </w:tcBorders>
          </w:tcPr>
          <w:p w14:paraId="0441CDBE">
            <w:pPr>
              <w:spacing w:line="340" w:lineRule="exact"/>
              <w:jc w:val="left"/>
              <w:rPr>
                <w:rFonts w:ascii="仿宋_GB2312" w:hAnsi="仿宋_GB2312" w:eastAsia="仿宋_GB2312" w:cs="仿宋_GB2312"/>
                <w:b/>
                <w:color w:val="FF0000"/>
                <w:szCs w:val="21"/>
              </w:rPr>
            </w:pPr>
            <w:r>
              <w:rPr>
                <w:rFonts w:hint="eastAsia" w:ascii="仿宋_GB2312" w:hAnsi="仿宋_GB2312" w:eastAsia="仿宋_GB2312" w:cs="仿宋_GB2312"/>
                <w:color w:val="FF0000"/>
                <w:szCs w:val="21"/>
              </w:rPr>
              <w:t>★</w:t>
            </w:r>
            <w:r>
              <w:rPr>
                <w:rFonts w:hint="eastAsia" w:ascii="仿宋_GB2312" w:hAnsi="仿宋_GB2312" w:eastAsia="仿宋_GB2312" w:cs="仿宋_GB2312"/>
                <w:color w:val="FF0000"/>
                <w:szCs w:val="21"/>
                <w:lang w:val="en-US" w:eastAsia="zh-CN"/>
              </w:rPr>
              <w:t>8</w:t>
            </w:r>
            <w:r>
              <w:rPr>
                <w:rFonts w:hint="eastAsia" w:ascii="仿宋_GB2312" w:hAnsi="仿宋_GB2312" w:eastAsia="仿宋_GB2312" w:cs="仿宋_GB2312"/>
                <w:b/>
                <w:color w:val="FF0000"/>
                <w:szCs w:val="21"/>
              </w:rPr>
              <w:t>.</w:t>
            </w:r>
            <w:r>
              <w:rPr>
                <w:rFonts w:hint="eastAsia" w:ascii="仿宋_GB2312" w:hAnsi="仿宋_GB2312" w:eastAsia="仿宋_GB2312" w:cs="仿宋_GB2312"/>
                <w:b/>
                <w:color w:val="FF0000"/>
                <w:szCs w:val="21"/>
                <w:lang w:val="en-US" w:eastAsia="zh-CN"/>
              </w:rPr>
              <w:t>1</w:t>
            </w:r>
            <w:r>
              <w:rPr>
                <w:rFonts w:hint="eastAsia" w:ascii="仿宋_GB2312" w:hAnsi="仿宋_GB2312" w:eastAsia="仿宋_GB2312" w:cs="仿宋_GB2312"/>
                <w:b/>
                <w:color w:val="FF0000"/>
                <w:szCs w:val="21"/>
              </w:rPr>
              <w:t>投标人所投产品具备相关主管部门要求的认证资料：所投产品为第一类医疗器械的，提供监督管理部门签发的有效的《医疗器械备案凭证》扫描件；所投产品为第二、三类医疗器械的，提供监督管理部门签发的涵盖所投产品的《医疗器械注册证》(有效期内)扫描件。</w:t>
            </w:r>
          </w:p>
        </w:tc>
      </w:tr>
    </w:tbl>
    <w:p w14:paraId="4F7269EE">
      <w:pPr>
        <w:keepNext w:val="0"/>
        <w:keepLines w:val="0"/>
        <w:pageBreakBefore w:val="0"/>
        <w:wordWrap/>
        <w:overflowPunct/>
        <w:topLinePunct w:val="0"/>
        <w:bidi w:val="0"/>
        <w:spacing w:line="380" w:lineRule="exact"/>
        <w:jc w:val="left"/>
        <w:rPr>
          <w:rFonts w:hint="eastAsia" w:ascii="宋体" w:hAnsi="宋体" w:eastAsia="宋体" w:cs="宋体"/>
          <w:b/>
          <w:bCs/>
          <w:color w:val="FF0000"/>
          <w:sz w:val="21"/>
          <w:szCs w:val="21"/>
        </w:rPr>
      </w:pPr>
    </w:p>
    <w:p w14:paraId="765502AE">
      <w:pPr>
        <w:rPr>
          <w:rFonts w:hint="eastAsia" w:asciiTheme="minorEastAsia" w:hAnsiTheme="minorEastAsia" w:eastAsiaTheme="minorEastAsia"/>
          <w:b/>
          <w:sz w:val="44"/>
          <w:szCs w:val="44"/>
          <w:u w:val="single"/>
        </w:rPr>
      </w:pPr>
      <w:r>
        <w:rPr>
          <w:rFonts w:hint="eastAsia" w:asciiTheme="minorEastAsia" w:hAnsiTheme="minorEastAsia" w:eastAsiaTheme="minorEastAsia"/>
          <w:b/>
          <w:sz w:val="44"/>
          <w:szCs w:val="44"/>
          <w:u w:val="single"/>
        </w:rPr>
        <w:br w:type="page"/>
      </w:r>
    </w:p>
    <w:p w14:paraId="504802A4">
      <w:pPr>
        <w:spacing w:line="360" w:lineRule="auto"/>
        <w:jc w:val="center"/>
        <w:rPr>
          <w:rFonts w:hint="eastAsia" w:asciiTheme="minorEastAsia" w:hAnsiTheme="minorEastAsia" w:eastAsiaTheme="minorEastAsia"/>
          <w:b/>
          <w:sz w:val="52"/>
          <w:szCs w:val="52"/>
          <w:u w:val="single"/>
        </w:rPr>
      </w:pPr>
    </w:p>
    <w:p w14:paraId="2A57E732">
      <w:pPr>
        <w:spacing w:line="360" w:lineRule="auto"/>
        <w:jc w:val="center"/>
        <w:rPr>
          <w:rFonts w:hint="eastAsia" w:asciiTheme="minorEastAsia" w:hAnsiTheme="minorEastAsia" w:eastAsiaTheme="minorEastAsia"/>
          <w:b/>
          <w:sz w:val="52"/>
          <w:szCs w:val="52"/>
          <w:u w:val="single"/>
        </w:rPr>
      </w:pPr>
    </w:p>
    <w:p w14:paraId="7A51D92A">
      <w:pPr>
        <w:spacing w:line="360" w:lineRule="auto"/>
        <w:jc w:val="center"/>
        <w:rPr>
          <w:rFonts w:asciiTheme="minorEastAsia" w:hAnsiTheme="minorEastAsia" w:eastAsiaTheme="minorEastAsia"/>
          <w:b/>
          <w:sz w:val="52"/>
          <w:szCs w:val="52"/>
        </w:rPr>
      </w:pPr>
      <w:bookmarkStart w:id="28" w:name="_GoBack"/>
      <w:bookmarkEnd w:id="28"/>
      <w:r>
        <w:rPr>
          <w:rFonts w:hint="eastAsia" w:asciiTheme="minorEastAsia" w:hAnsiTheme="minorEastAsia" w:eastAsiaTheme="minorEastAsia"/>
          <w:b/>
          <w:sz w:val="52"/>
          <w:szCs w:val="52"/>
          <w:u w:val="single"/>
        </w:rPr>
        <w:t xml:space="preserve"> 碳13呼气检测仪 </w:t>
      </w:r>
      <w:r>
        <w:rPr>
          <w:rFonts w:hint="eastAsia" w:asciiTheme="minorEastAsia" w:hAnsiTheme="minorEastAsia" w:eastAsiaTheme="minorEastAsia"/>
          <w:b/>
          <w:sz w:val="52"/>
          <w:szCs w:val="52"/>
        </w:rPr>
        <w:t>项目投标文件</w:t>
      </w:r>
    </w:p>
    <w:p w14:paraId="6EC53C88">
      <w:pPr>
        <w:spacing w:line="360" w:lineRule="auto"/>
        <w:rPr>
          <w:rFonts w:asciiTheme="minorEastAsia" w:hAnsiTheme="minorEastAsia" w:eastAsiaTheme="minorEastAsia"/>
          <w:b/>
          <w:sz w:val="32"/>
          <w:szCs w:val="32"/>
        </w:rPr>
      </w:pPr>
    </w:p>
    <w:p w14:paraId="2A3101EC">
      <w:pPr>
        <w:spacing w:line="360" w:lineRule="auto"/>
        <w:jc w:val="center"/>
        <w:rPr>
          <w:rFonts w:hint="default" w:asciiTheme="minorEastAsia" w:hAnsiTheme="minorEastAsia" w:eastAsiaTheme="minorEastAsia"/>
          <w:b/>
          <w:sz w:val="32"/>
          <w:szCs w:val="32"/>
          <w:lang w:val="en-US" w:eastAsia="zh-CN"/>
        </w:rPr>
      </w:pPr>
      <w:r>
        <w:rPr>
          <w:rFonts w:hint="eastAsia" w:asciiTheme="minorEastAsia" w:hAnsiTheme="minorEastAsia" w:eastAsiaTheme="minorEastAsia"/>
          <w:b/>
          <w:sz w:val="32"/>
          <w:szCs w:val="32"/>
          <w:lang w:val="en-US" w:eastAsia="zh-CN"/>
        </w:rPr>
        <w:t>（□正本/□副本）</w:t>
      </w:r>
    </w:p>
    <w:p w14:paraId="218B14C7">
      <w:pPr>
        <w:spacing w:line="360" w:lineRule="auto"/>
        <w:rPr>
          <w:rFonts w:asciiTheme="minorEastAsia" w:hAnsiTheme="minorEastAsia" w:eastAsiaTheme="minorEastAsia"/>
          <w:b/>
          <w:sz w:val="32"/>
          <w:szCs w:val="32"/>
        </w:rPr>
      </w:pPr>
    </w:p>
    <w:p w14:paraId="47858426">
      <w:pPr>
        <w:spacing w:line="360" w:lineRule="auto"/>
        <w:rPr>
          <w:rFonts w:asciiTheme="minorEastAsia" w:hAnsiTheme="minorEastAsia" w:eastAsiaTheme="minorEastAsia"/>
          <w:b/>
          <w:sz w:val="32"/>
          <w:szCs w:val="32"/>
        </w:rPr>
      </w:pPr>
    </w:p>
    <w:p w14:paraId="30149F1F">
      <w:pPr>
        <w:spacing w:line="360" w:lineRule="auto"/>
        <w:rPr>
          <w:rFonts w:asciiTheme="minorEastAsia" w:hAnsiTheme="minorEastAsia" w:eastAsiaTheme="minorEastAsia"/>
          <w:b/>
          <w:sz w:val="24"/>
          <w:szCs w:val="24"/>
        </w:rPr>
      </w:pPr>
    </w:p>
    <w:p w14:paraId="593830ED">
      <w:pPr>
        <w:spacing w:line="360" w:lineRule="auto"/>
        <w:rPr>
          <w:rFonts w:asciiTheme="minorEastAsia" w:hAnsiTheme="minorEastAsia" w:eastAsiaTheme="minorEastAsia"/>
          <w:b/>
          <w:sz w:val="24"/>
          <w:szCs w:val="24"/>
        </w:rPr>
      </w:pPr>
    </w:p>
    <w:p w14:paraId="0C6FCF79">
      <w:pPr>
        <w:spacing w:line="360" w:lineRule="auto"/>
        <w:rPr>
          <w:rFonts w:asciiTheme="minorEastAsia" w:hAnsiTheme="minorEastAsia" w:eastAsiaTheme="minorEastAsia"/>
          <w:b/>
          <w:sz w:val="24"/>
          <w:szCs w:val="24"/>
        </w:rPr>
      </w:pPr>
    </w:p>
    <w:p w14:paraId="46794AA8">
      <w:pPr>
        <w:spacing w:line="360" w:lineRule="auto"/>
        <w:rPr>
          <w:rFonts w:asciiTheme="minorEastAsia" w:hAnsiTheme="minorEastAsia" w:eastAsiaTheme="minorEastAsia"/>
          <w:b/>
          <w:sz w:val="24"/>
          <w:szCs w:val="24"/>
        </w:rPr>
      </w:pPr>
    </w:p>
    <w:p w14:paraId="7AC802CD">
      <w:pPr>
        <w:spacing w:line="360" w:lineRule="auto"/>
        <w:rPr>
          <w:rFonts w:asciiTheme="minorEastAsia" w:hAnsiTheme="minorEastAsia" w:eastAsiaTheme="minorEastAsia"/>
          <w:b/>
          <w:sz w:val="24"/>
          <w:szCs w:val="24"/>
        </w:rPr>
      </w:pPr>
    </w:p>
    <w:p w14:paraId="768B6552">
      <w:pPr>
        <w:spacing w:line="360" w:lineRule="auto"/>
        <w:rPr>
          <w:rFonts w:asciiTheme="minorEastAsia" w:hAnsiTheme="minorEastAsia" w:eastAsiaTheme="minorEastAsia"/>
          <w:b/>
          <w:sz w:val="32"/>
          <w:szCs w:val="32"/>
        </w:rPr>
      </w:pPr>
    </w:p>
    <w:p w14:paraId="14C372A1">
      <w:pPr>
        <w:spacing w:line="360" w:lineRule="auto"/>
        <w:ind w:firstLine="1446" w:firstLineChars="450"/>
        <w:jc w:val="left"/>
        <w:rPr>
          <w:rFonts w:hint="default" w:asciiTheme="minorEastAsia" w:hAnsiTheme="minorEastAsia" w:eastAsiaTheme="minorEastAsia"/>
          <w:b/>
          <w:sz w:val="32"/>
          <w:szCs w:val="32"/>
          <w:u w:val="single"/>
          <w:lang w:val="en-US"/>
        </w:rPr>
      </w:pPr>
      <w:r>
        <w:rPr>
          <w:rFonts w:hint="eastAsia" w:asciiTheme="minorEastAsia" w:hAnsiTheme="minorEastAsia" w:eastAsiaTheme="minorEastAsia"/>
          <w:b/>
          <w:sz w:val="32"/>
          <w:szCs w:val="32"/>
          <w:lang w:val="en-US" w:eastAsia="zh-CN"/>
        </w:rPr>
        <w:t>项目</w:t>
      </w:r>
      <w:r>
        <w:rPr>
          <w:rFonts w:hint="eastAsia" w:asciiTheme="minorEastAsia" w:hAnsiTheme="minorEastAsia" w:eastAsiaTheme="minorEastAsia"/>
          <w:b/>
          <w:sz w:val="32"/>
          <w:szCs w:val="32"/>
        </w:rPr>
        <w:t>编号：</w:t>
      </w:r>
      <w:r>
        <w:rPr>
          <w:rFonts w:hint="eastAsia" w:asciiTheme="minorEastAsia" w:hAnsiTheme="minorEastAsia" w:eastAsiaTheme="minorEastAsia"/>
          <w:b/>
          <w:sz w:val="32"/>
          <w:szCs w:val="32"/>
          <w:u w:val="single"/>
        </w:rPr>
        <w:t xml:space="preserve">  XH-SB-2026001 </w:t>
      </w:r>
      <w:r>
        <w:rPr>
          <w:rFonts w:hint="eastAsia" w:asciiTheme="minorEastAsia" w:hAnsiTheme="minorEastAsia" w:eastAsiaTheme="minorEastAsia"/>
          <w:b/>
          <w:sz w:val="32"/>
          <w:szCs w:val="32"/>
          <w:u w:val="single"/>
          <w:lang w:val="en-US" w:eastAsia="zh-CN"/>
        </w:rPr>
        <w:t xml:space="preserve">            </w:t>
      </w:r>
    </w:p>
    <w:p w14:paraId="0410D85D">
      <w:pPr>
        <w:spacing w:line="360" w:lineRule="auto"/>
        <w:ind w:firstLine="1446" w:firstLineChars="450"/>
        <w:jc w:val="left"/>
        <w:rPr>
          <w:rFonts w:asciiTheme="minorEastAsia" w:hAnsiTheme="minorEastAsia" w:eastAsiaTheme="minorEastAsia"/>
          <w:b/>
          <w:sz w:val="32"/>
          <w:szCs w:val="32"/>
        </w:rPr>
      </w:pPr>
      <w:r>
        <w:rPr>
          <w:rFonts w:hint="eastAsia" w:asciiTheme="minorEastAsia" w:hAnsiTheme="minorEastAsia" w:eastAsiaTheme="minorEastAsia"/>
          <w:b/>
          <w:sz w:val="32"/>
          <w:szCs w:val="32"/>
        </w:rPr>
        <w:t>投标人名称（公章)：</w:t>
      </w:r>
      <w:r>
        <w:rPr>
          <w:rFonts w:hint="eastAsia" w:asciiTheme="minorEastAsia" w:hAnsiTheme="minorEastAsia" w:eastAsiaTheme="minorEastAsia"/>
          <w:b/>
          <w:sz w:val="32"/>
          <w:szCs w:val="32"/>
          <w:u w:val="single"/>
        </w:rPr>
        <w:t xml:space="preserve">                   </w:t>
      </w:r>
    </w:p>
    <w:p w14:paraId="2A463542">
      <w:pPr>
        <w:spacing w:line="360" w:lineRule="auto"/>
        <w:ind w:firstLine="1446" w:firstLineChars="450"/>
        <w:jc w:val="left"/>
        <w:rPr>
          <w:rFonts w:asciiTheme="minorEastAsia" w:hAnsiTheme="minorEastAsia" w:eastAsiaTheme="minorEastAsia"/>
          <w:b/>
          <w:sz w:val="32"/>
          <w:szCs w:val="32"/>
        </w:rPr>
      </w:pPr>
      <w:r>
        <w:rPr>
          <w:rFonts w:hint="eastAsia" w:asciiTheme="minorEastAsia" w:hAnsiTheme="minorEastAsia" w:eastAsiaTheme="minorEastAsia"/>
          <w:b/>
          <w:sz w:val="32"/>
          <w:szCs w:val="32"/>
        </w:rPr>
        <w:t>投标人代表（签字）：</w:t>
      </w:r>
      <w:r>
        <w:rPr>
          <w:rFonts w:hint="eastAsia" w:asciiTheme="minorEastAsia" w:hAnsiTheme="minorEastAsia" w:eastAsiaTheme="minorEastAsia"/>
          <w:b/>
          <w:sz w:val="32"/>
          <w:szCs w:val="32"/>
          <w:u w:val="single"/>
        </w:rPr>
        <w:t xml:space="preserve">                   </w:t>
      </w:r>
    </w:p>
    <w:p w14:paraId="7312E6BE">
      <w:pPr>
        <w:spacing w:line="360" w:lineRule="auto"/>
        <w:ind w:firstLine="1446" w:firstLineChars="450"/>
        <w:jc w:val="left"/>
        <w:rPr>
          <w:rFonts w:asciiTheme="minorEastAsia" w:hAnsiTheme="minorEastAsia" w:eastAsiaTheme="minorEastAsia"/>
          <w:b/>
          <w:sz w:val="24"/>
          <w:szCs w:val="24"/>
        </w:rPr>
      </w:pPr>
      <w:r>
        <w:rPr>
          <w:rFonts w:hint="eastAsia" w:asciiTheme="minorEastAsia" w:hAnsiTheme="minorEastAsia" w:eastAsiaTheme="minorEastAsia"/>
          <w:b/>
          <w:sz w:val="32"/>
          <w:szCs w:val="32"/>
        </w:rPr>
        <w:t>投标日期：</w:t>
      </w:r>
      <w:r>
        <w:rPr>
          <w:rFonts w:hint="eastAsia" w:asciiTheme="minorEastAsia" w:hAnsiTheme="minorEastAsia" w:eastAsiaTheme="minorEastAsia"/>
          <w:b/>
          <w:sz w:val="32"/>
          <w:szCs w:val="32"/>
          <w:u w:val="single"/>
        </w:rPr>
        <w:t xml:space="preserve">            </w:t>
      </w:r>
      <w:r>
        <w:rPr>
          <w:rFonts w:hint="eastAsia" w:asciiTheme="minorEastAsia" w:hAnsiTheme="minorEastAsia" w:eastAsiaTheme="minorEastAsia"/>
          <w:b/>
          <w:sz w:val="32"/>
          <w:szCs w:val="32"/>
        </w:rPr>
        <w:t xml:space="preserve">年 </w:t>
      </w:r>
      <w:r>
        <w:rPr>
          <w:rFonts w:hint="eastAsia" w:asciiTheme="minorEastAsia" w:hAnsiTheme="minorEastAsia" w:eastAsiaTheme="minorEastAsia"/>
          <w:b/>
          <w:sz w:val="32"/>
          <w:szCs w:val="32"/>
          <w:u w:val="single"/>
        </w:rPr>
        <w:t xml:space="preserve">    </w:t>
      </w:r>
      <w:r>
        <w:rPr>
          <w:rFonts w:hint="eastAsia" w:asciiTheme="minorEastAsia" w:hAnsiTheme="minorEastAsia" w:eastAsiaTheme="minorEastAsia"/>
          <w:b/>
          <w:sz w:val="32"/>
          <w:szCs w:val="32"/>
        </w:rPr>
        <w:t>月</w:t>
      </w:r>
      <w:r>
        <w:rPr>
          <w:rFonts w:hint="eastAsia" w:asciiTheme="minorEastAsia" w:hAnsiTheme="minorEastAsia" w:eastAsiaTheme="minorEastAsia"/>
          <w:b/>
          <w:sz w:val="32"/>
          <w:szCs w:val="32"/>
          <w:u w:val="single"/>
        </w:rPr>
        <w:t xml:space="preserve">      </w:t>
      </w:r>
      <w:r>
        <w:rPr>
          <w:rFonts w:hint="eastAsia" w:asciiTheme="minorEastAsia" w:hAnsiTheme="minorEastAsia" w:eastAsiaTheme="minorEastAsia"/>
          <w:b/>
          <w:sz w:val="32"/>
          <w:szCs w:val="32"/>
        </w:rPr>
        <w:t>日</w:t>
      </w:r>
    </w:p>
    <w:p w14:paraId="081A5230">
      <w:pPr>
        <w:spacing w:line="300" w:lineRule="auto"/>
        <w:rPr>
          <w:rFonts w:asciiTheme="minorEastAsia" w:hAnsiTheme="minorEastAsia" w:eastAsiaTheme="minorEastAsia"/>
          <w:sz w:val="24"/>
          <w:szCs w:val="24"/>
        </w:rPr>
        <w:sectPr>
          <w:footerReference r:id="rId6" w:type="default"/>
          <w:headerReference r:id="rId5" w:type="even"/>
          <w:pgSz w:w="11906" w:h="16838"/>
          <w:pgMar w:top="1701" w:right="1588" w:bottom="1304" w:left="1588" w:header="1247" w:footer="737" w:gutter="0"/>
          <w:cols w:space="425" w:num="1"/>
          <w:docGrid w:linePitch="380" w:charSpace="-4301"/>
        </w:sectPr>
      </w:pPr>
    </w:p>
    <w:p w14:paraId="04171AD7">
      <w:pPr>
        <w:spacing w:line="300" w:lineRule="auto"/>
        <w:rPr>
          <w:rFonts w:asciiTheme="minorEastAsia" w:hAnsiTheme="minorEastAsia" w:eastAsiaTheme="minorEastAsia"/>
          <w:b/>
          <w:sz w:val="24"/>
          <w:szCs w:val="24"/>
        </w:rPr>
      </w:pPr>
      <w:r>
        <w:rPr>
          <w:rFonts w:hint="eastAsia" w:asciiTheme="minorEastAsia" w:hAnsiTheme="minorEastAsia" w:eastAsiaTheme="minorEastAsia"/>
          <w:sz w:val="24"/>
          <w:szCs w:val="24"/>
        </w:rPr>
        <w:t xml:space="preserve">开标一览表格式               </w:t>
      </w:r>
    </w:p>
    <w:p w14:paraId="6647B610">
      <w:pPr>
        <w:pStyle w:val="4"/>
        <w:spacing w:line="300" w:lineRule="auto"/>
        <w:jc w:val="center"/>
        <w:rPr>
          <w:rFonts w:asciiTheme="minorEastAsia" w:hAnsiTheme="minorEastAsia" w:eastAsiaTheme="minorEastAsia"/>
          <w:bCs/>
          <w:szCs w:val="24"/>
        </w:rPr>
      </w:pPr>
      <w:bookmarkStart w:id="16" w:name="_Toc309632062"/>
      <w:bookmarkStart w:id="17" w:name="_Toc313109512"/>
      <w:r>
        <w:rPr>
          <w:rFonts w:hint="eastAsia" w:asciiTheme="minorEastAsia" w:hAnsiTheme="minorEastAsia" w:eastAsiaTheme="minorEastAsia"/>
          <w:bCs/>
          <w:szCs w:val="24"/>
        </w:rPr>
        <w:t>一、开标一览表</w:t>
      </w:r>
      <w:bookmarkEnd w:id="16"/>
      <w:bookmarkEnd w:id="17"/>
    </w:p>
    <w:p w14:paraId="2A03914A">
      <w:pPr>
        <w:numPr>
          <w:ilvl w:val="0"/>
          <w:numId w:val="0"/>
        </w:numPr>
        <w:spacing w:line="360" w:lineRule="auto"/>
        <w:rPr>
          <w:rFonts w:hint="eastAsia"/>
          <w:lang w:val="en-US" w:eastAsia="zh-CN"/>
        </w:rPr>
      </w:pPr>
      <w:r>
        <w:rPr>
          <w:rFonts w:hint="eastAsia"/>
          <w:lang w:val="en-US" w:eastAsia="zh-CN"/>
        </w:rPr>
        <w:t>项目名称：</w:t>
      </w:r>
      <w:r>
        <w:rPr>
          <w:rFonts w:hint="eastAsia" w:asciiTheme="minorEastAsia" w:hAnsiTheme="minorEastAsia" w:eastAsiaTheme="minorEastAsia" w:cstheme="minorEastAsia"/>
        </w:rPr>
        <w:t>深圳市新华医院</w:t>
      </w:r>
      <w:r>
        <w:rPr>
          <w:rFonts w:hint="eastAsia" w:asciiTheme="minorEastAsia" w:hAnsiTheme="minorEastAsia" w:eastAsiaTheme="minorEastAsia" w:cstheme="minorEastAsia"/>
          <w:lang w:val="en-US" w:eastAsia="zh-CN"/>
        </w:rPr>
        <w:t>碳13呼气检测仪采购</w:t>
      </w:r>
      <w:r>
        <w:rPr>
          <w:rFonts w:hint="eastAsia" w:asciiTheme="minorEastAsia" w:hAnsiTheme="minorEastAsia" w:eastAsiaTheme="minorEastAsia" w:cstheme="minorEastAsia"/>
        </w:rPr>
        <w:t>项目</w:t>
      </w:r>
    </w:p>
    <w:p w14:paraId="6AE875CC">
      <w:pPr>
        <w:numPr>
          <w:ilvl w:val="0"/>
          <w:numId w:val="0"/>
        </w:numPr>
        <w:spacing w:line="360" w:lineRule="auto"/>
        <w:rPr>
          <w:rFonts w:hint="default"/>
          <w:lang w:val="en-US" w:eastAsia="zh-CN"/>
        </w:rPr>
      </w:pPr>
      <w:r>
        <w:rPr>
          <w:rFonts w:hint="eastAsia"/>
          <w:lang w:val="en-US" w:eastAsia="zh-CN"/>
        </w:rPr>
        <w:t>项目编号：XH-SB-2026001</w:t>
      </w:r>
    </w:p>
    <w:tbl>
      <w:tblPr>
        <w:tblStyle w:val="16"/>
        <w:tblpPr w:leftFromText="180" w:rightFromText="180" w:vertAnchor="text" w:horzAnchor="page" w:tblpX="1710" w:tblpY="94"/>
        <w:tblOverlap w:val="never"/>
        <w:tblW w:w="84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82"/>
        <w:gridCol w:w="4009"/>
        <w:gridCol w:w="1546"/>
      </w:tblGrid>
      <w:tr w14:paraId="68FFD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trPr>
        <w:tc>
          <w:tcPr>
            <w:tcW w:w="2882" w:type="dxa"/>
            <w:tcBorders>
              <w:top w:val="single" w:color="auto" w:sz="4" w:space="0"/>
            </w:tcBorders>
            <w:vAlign w:val="center"/>
          </w:tcPr>
          <w:p w14:paraId="66339F86">
            <w:pPr>
              <w:pStyle w:val="9"/>
              <w:jc w:val="center"/>
              <w:rPr>
                <w:rFonts w:hint="default"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货物名称</w:t>
            </w:r>
          </w:p>
        </w:tc>
        <w:tc>
          <w:tcPr>
            <w:tcW w:w="4009" w:type="dxa"/>
            <w:tcBorders>
              <w:top w:val="single" w:color="auto" w:sz="4" w:space="0"/>
            </w:tcBorders>
            <w:vAlign w:val="center"/>
          </w:tcPr>
          <w:p w14:paraId="56677A80">
            <w:pPr>
              <w:pStyle w:val="9"/>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投标报价（人民币/元）</w:t>
            </w:r>
          </w:p>
        </w:tc>
        <w:tc>
          <w:tcPr>
            <w:tcW w:w="1546" w:type="dxa"/>
            <w:tcBorders>
              <w:top w:val="single" w:color="auto" w:sz="4" w:space="0"/>
            </w:tcBorders>
            <w:vAlign w:val="center"/>
          </w:tcPr>
          <w:p w14:paraId="404602EC">
            <w:pPr>
              <w:pStyle w:val="9"/>
              <w:jc w:val="cente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备注</w:t>
            </w:r>
          </w:p>
        </w:tc>
      </w:tr>
      <w:tr w14:paraId="47EAF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7" w:hRule="atLeast"/>
        </w:trPr>
        <w:tc>
          <w:tcPr>
            <w:tcW w:w="2882" w:type="dxa"/>
            <w:vAlign w:val="center"/>
          </w:tcPr>
          <w:p w14:paraId="73AD857A">
            <w:pPr>
              <w:autoSpaceDE w:val="0"/>
              <w:autoSpaceDN w:val="0"/>
              <w:spacing w:line="320" w:lineRule="atLeast"/>
              <w:jc w:val="center"/>
              <w:textAlignment w:val="bottom"/>
              <w:rPr>
                <w:rFonts w:hint="eastAsia" w:asciiTheme="minorEastAsia" w:hAnsiTheme="minorEastAsia" w:eastAsiaTheme="minorEastAsia" w:cstheme="minorEastAsia"/>
                <w:szCs w:val="21"/>
              </w:rPr>
            </w:pPr>
          </w:p>
        </w:tc>
        <w:tc>
          <w:tcPr>
            <w:tcW w:w="4009" w:type="dxa"/>
            <w:vAlign w:val="center"/>
          </w:tcPr>
          <w:p w14:paraId="3D114698">
            <w:pPr>
              <w:pStyle w:val="9"/>
              <w:jc w:val="both"/>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大写：</w:t>
            </w:r>
          </w:p>
          <w:p w14:paraId="270AF69B">
            <w:pPr>
              <w:pStyle w:val="9"/>
              <w:jc w:val="both"/>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小写：¥0,000,000.00</w:t>
            </w:r>
          </w:p>
        </w:tc>
        <w:tc>
          <w:tcPr>
            <w:tcW w:w="1546" w:type="dxa"/>
            <w:vAlign w:val="center"/>
          </w:tcPr>
          <w:p w14:paraId="6A6DCF26">
            <w:pPr>
              <w:pStyle w:val="9"/>
              <w:ind w:firstLine="1680" w:firstLineChars="800"/>
              <w:rPr>
                <w:rFonts w:hint="eastAsia" w:asciiTheme="minorEastAsia" w:hAnsiTheme="minorEastAsia" w:eastAsiaTheme="minorEastAsia" w:cstheme="minorEastAsia"/>
                <w:szCs w:val="21"/>
              </w:rPr>
            </w:pPr>
          </w:p>
        </w:tc>
      </w:tr>
    </w:tbl>
    <w:p w14:paraId="4E3699DD">
      <w:pPr>
        <w:pStyle w:val="9"/>
        <w:spacing w:line="300" w:lineRule="auto"/>
        <w:rPr>
          <w:rFonts w:hint="eastAsia" w:asciiTheme="minorEastAsia" w:hAnsiTheme="minorEastAsia" w:eastAsiaTheme="minorEastAsia" w:cstheme="minorEastAsia"/>
          <w:sz w:val="24"/>
        </w:rPr>
      </w:pPr>
    </w:p>
    <w:p w14:paraId="6F3486E0">
      <w:pPr>
        <w:spacing w:line="360" w:lineRule="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注：1.投标报价包括了运至用户指定安装地点的</w:t>
      </w:r>
      <w:r>
        <w:rPr>
          <w:rFonts w:hint="eastAsia" w:asciiTheme="minorEastAsia" w:hAnsiTheme="minorEastAsia" w:eastAsiaTheme="minorEastAsia" w:cstheme="minorEastAsia"/>
        </w:rPr>
        <w:t>货物及其附件的出厂价（设备费、软件费等）、税费（含进口关税、增值税等）、包装、运输、装卸、安装、调试、技术服务（包括技术资料）、培训、咨询、服务、保险、检测、验收合格交付使用之前及技术和售后服务等其他各项有关费用（如文件移交、考察等费用），以及一切不可预见费等，项目结算时不做任何单价或费用的调整(因数量变更除外)</w:t>
      </w:r>
      <w:r>
        <w:rPr>
          <w:rFonts w:hint="eastAsia" w:asciiTheme="minorEastAsia" w:hAnsiTheme="minorEastAsia" w:eastAsiaTheme="minorEastAsia" w:cstheme="minorEastAsia"/>
          <w:szCs w:val="21"/>
        </w:rPr>
        <w:t>。</w:t>
      </w:r>
    </w:p>
    <w:p w14:paraId="4D273C34">
      <w:pPr>
        <w:pStyle w:val="9"/>
        <w:spacing w:line="360" w:lineRule="auto"/>
        <w:ind w:left="420" w:left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2.报价结果保留到小数点后两位。</w:t>
      </w:r>
    </w:p>
    <w:p w14:paraId="753D8867">
      <w:pPr>
        <w:spacing w:line="300" w:lineRule="auto"/>
        <w:ind w:firstLine="420" w:firstLineChars="200"/>
        <w:rPr>
          <w:rFonts w:hint="eastAsia" w:asciiTheme="minorEastAsia" w:hAnsiTheme="minorEastAsia" w:eastAsiaTheme="minorEastAsia" w:cstheme="minorEastAsia"/>
          <w:b/>
          <w:bCs/>
          <w:szCs w:val="21"/>
          <w:u w:val="single"/>
          <w:lang w:val="zh-CN"/>
        </w:rPr>
      </w:pPr>
      <w:r>
        <w:rPr>
          <w:rFonts w:hint="eastAsia" w:asciiTheme="minorEastAsia" w:hAnsiTheme="minorEastAsia" w:eastAsiaTheme="minorEastAsia" w:cstheme="minorEastAsia"/>
          <w:szCs w:val="21"/>
        </w:rPr>
        <w:t>3</w:t>
      </w:r>
      <w:r>
        <w:rPr>
          <w:rFonts w:hint="eastAsia" w:asciiTheme="minorEastAsia" w:hAnsiTheme="minorEastAsia" w:eastAsiaTheme="minorEastAsia" w:cstheme="minorEastAsia"/>
          <w:szCs w:val="21"/>
          <w:lang w:val="zh-CN"/>
        </w:rPr>
        <w:t>．</w:t>
      </w:r>
      <w:r>
        <w:rPr>
          <w:rFonts w:hint="eastAsia" w:asciiTheme="minorEastAsia" w:hAnsiTheme="minorEastAsia" w:eastAsiaTheme="minorEastAsia" w:cstheme="minorEastAsia"/>
          <w:b/>
          <w:bCs/>
          <w:szCs w:val="21"/>
          <w:u w:val="single"/>
          <w:lang w:val="zh-CN"/>
        </w:rPr>
        <w:t>本表一式二份，一份随唱标信封一起提交，一份编入投标文件。</w:t>
      </w:r>
    </w:p>
    <w:p w14:paraId="54A6DEBD">
      <w:pPr>
        <w:pStyle w:val="9"/>
        <w:spacing w:line="360" w:lineRule="auto"/>
        <w:ind w:firstLine="420" w:firstLineChars="200"/>
        <w:rPr>
          <w:rFonts w:hint="eastAsia" w:asciiTheme="minorEastAsia" w:hAnsiTheme="minorEastAsia" w:eastAsiaTheme="minorEastAsia" w:cstheme="minorEastAsia"/>
          <w:szCs w:val="21"/>
        </w:rPr>
      </w:pPr>
    </w:p>
    <w:p w14:paraId="20BBD44D">
      <w:pPr>
        <w:pStyle w:val="9"/>
        <w:spacing w:line="360" w:lineRule="auto"/>
        <w:ind w:firstLine="420" w:firstLineChars="200"/>
        <w:rPr>
          <w:rFonts w:hint="eastAsia" w:asciiTheme="minorEastAsia" w:hAnsiTheme="minorEastAsia" w:eastAsiaTheme="minorEastAsia" w:cstheme="minorEastAsia"/>
          <w:szCs w:val="21"/>
        </w:rPr>
      </w:pPr>
    </w:p>
    <w:p w14:paraId="60CC4711">
      <w:pPr>
        <w:pStyle w:val="9"/>
        <w:spacing w:line="360" w:lineRule="auto"/>
        <w:rPr>
          <w:rFonts w:hint="eastAsia" w:asciiTheme="minorEastAsia" w:hAnsiTheme="minorEastAsia" w:eastAsiaTheme="minorEastAsia" w:cstheme="minorEastAsia"/>
          <w:sz w:val="24"/>
        </w:rPr>
      </w:pPr>
    </w:p>
    <w:p w14:paraId="17CF40C1">
      <w:pPr>
        <w:spacing w:line="360" w:lineRule="auto"/>
        <w:ind w:firstLine="4620" w:firstLineChars="2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投标人（公章）：</w:t>
      </w:r>
    </w:p>
    <w:p w14:paraId="04F3DCF8">
      <w:pPr>
        <w:spacing w:line="360" w:lineRule="auto"/>
        <w:ind w:firstLine="4200" w:firstLineChars="20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eastAsia="zh-CN"/>
        </w:rPr>
        <w:t>法定代表人（负责人）</w:t>
      </w:r>
      <w:r>
        <w:rPr>
          <w:rFonts w:hint="eastAsia" w:asciiTheme="minorEastAsia" w:hAnsiTheme="minorEastAsia" w:eastAsiaTheme="minorEastAsia" w:cstheme="minorEastAsia"/>
          <w:szCs w:val="21"/>
        </w:rPr>
        <w:t>或其授权代表签名：</w:t>
      </w:r>
    </w:p>
    <w:p w14:paraId="4A672954">
      <w:pPr>
        <w:spacing w:line="300" w:lineRule="auto"/>
        <w:rPr>
          <w:rFonts w:asciiTheme="minorEastAsia" w:hAnsiTheme="minorEastAsia" w:eastAsiaTheme="minorEastAsia"/>
          <w:bCs/>
          <w:sz w:val="24"/>
          <w:szCs w:val="24"/>
        </w:rPr>
      </w:pPr>
      <w:r>
        <w:rPr>
          <w:rFonts w:hint="eastAsia" w:asciiTheme="minorEastAsia" w:hAnsiTheme="minorEastAsia" w:eastAsiaTheme="minorEastAsia" w:cstheme="minorEastAsia"/>
          <w:szCs w:val="21"/>
        </w:rPr>
        <w:t>日期：      年    月    日</w:t>
      </w:r>
    </w:p>
    <w:p w14:paraId="2743B881">
      <w:pPr>
        <w:spacing w:line="300" w:lineRule="auto"/>
        <w:rPr>
          <w:rFonts w:asciiTheme="minorEastAsia" w:hAnsiTheme="minorEastAsia" w:eastAsiaTheme="minorEastAsia"/>
          <w:bCs/>
          <w:sz w:val="24"/>
          <w:szCs w:val="24"/>
        </w:rPr>
      </w:pPr>
    </w:p>
    <w:p w14:paraId="3DE44842">
      <w:pPr>
        <w:spacing w:line="300" w:lineRule="auto"/>
        <w:rPr>
          <w:rFonts w:asciiTheme="minorEastAsia" w:hAnsiTheme="minorEastAsia" w:eastAsiaTheme="minorEastAsia"/>
          <w:bCs/>
          <w:sz w:val="24"/>
          <w:szCs w:val="24"/>
        </w:rPr>
      </w:pPr>
    </w:p>
    <w:p w14:paraId="16C31B0F">
      <w:pPr>
        <w:spacing w:line="300" w:lineRule="auto"/>
        <w:rPr>
          <w:rFonts w:asciiTheme="minorEastAsia" w:hAnsiTheme="minorEastAsia" w:eastAsiaTheme="minorEastAsia"/>
          <w:bCs/>
          <w:sz w:val="24"/>
          <w:szCs w:val="24"/>
        </w:rPr>
      </w:pPr>
    </w:p>
    <w:p w14:paraId="03287CAD">
      <w:pPr>
        <w:pStyle w:val="4"/>
        <w:numPr>
          <w:ilvl w:val="0"/>
          <w:numId w:val="0"/>
        </w:numPr>
        <w:tabs>
          <w:tab w:val="left" w:pos="371"/>
        </w:tabs>
        <w:spacing w:before="120" w:after="120"/>
        <w:ind w:left="-1" w:leftChars="-1" w:hanging="1" w:firstLineChars="0"/>
        <w:jc w:val="center"/>
        <w:rPr>
          <w:rFonts w:hint="eastAsia" w:asciiTheme="minorEastAsia" w:hAnsiTheme="minorEastAsia" w:eastAsiaTheme="minorEastAsia" w:cstheme="minorEastAsia"/>
          <w:lang w:val="en-US" w:eastAsia="zh-CN"/>
        </w:rPr>
      </w:pPr>
      <w:bookmarkStart w:id="18" w:name="_Toc201742861"/>
      <w:bookmarkStart w:id="19" w:name="_Toc201719118"/>
      <w:bookmarkStart w:id="20" w:name="_Toc201997946"/>
      <w:bookmarkStart w:id="21" w:name="_Toc201401658"/>
      <w:bookmarkStart w:id="22" w:name="_Toc201743116"/>
    </w:p>
    <w:p w14:paraId="4A882727">
      <w:pPr>
        <w:pStyle w:val="4"/>
        <w:numPr>
          <w:ilvl w:val="0"/>
          <w:numId w:val="0"/>
        </w:numPr>
        <w:tabs>
          <w:tab w:val="left" w:pos="371"/>
        </w:tabs>
        <w:spacing w:before="120" w:after="120"/>
        <w:ind w:left="-1" w:leftChars="-1" w:hanging="1" w:firstLineChars="0"/>
        <w:jc w:val="center"/>
        <w:rPr>
          <w:rFonts w:hint="eastAsia" w:asciiTheme="minorEastAsia" w:hAnsiTheme="minorEastAsia" w:eastAsiaTheme="minorEastAsia" w:cstheme="minorEastAsia"/>
          <w:lang w:val="en-US" w:eastAsia="zh-CN"/>
        </w:rPr>
      </w:pPr>
    </w:p>
    <w:p w14:paraId="0D3CC458">
      <w:pPr>
        <w:pStyle w:val="4"/>
        <w:numPr>
          <w:ilvl w:val="0"/>
          <w:numId w:val="0"/>
        </w:numPr>
        <w:tabs>
          <w:tab w:val="left" w:pos="371"/>
        </w:tabs>
        <w:spacing w:before="120" w:after="120"/>
        <w:ind w:left="-1" w:leftChars="-1" w:hanging="1" w:firstLineChars="0"/>
        <w:jc w:val="center"/>
        <w:rPr>
          <w:rFonts w:hint="eastAsia" w:asciiTheme="minorEastAsia" w:hAnsiTheme="minorEastAsia" w:eastAsiaTheme="minorEastAsia" w:cstheme="minorEastAsia"/>
          <w:lang w:val="en-US" w:eastAsia="zh-CN"/>
        </w:rPr>
      </w:pPr>
    </w:p>
    <w:p w14:paraId="5D2F6569">
      <w:pPr>
        <w:pStyle w:val="4"/>
        <w:numPr>
          <w:ilvl w:val="0"/>
          <w:numId w:val="0"/>
        </w:numPr>
        <w:tabs>
          <w:tab w:val="left" w:pos="371"/>
        </w:tabs>
        <w:spacing w:before="120" w:after="120"/>
        <w:ind w:left="-1" w:leftChars="-1" w:hanging="1" w:firstLineChars="0"/>
        <w:jc w:val="center"/>
        <w:rPr>
          <w:rFonts w:hint="eastAsia" w:asciiTheme="minorEastAsia" w:hAnsiTheme="minorEastAsia" w:eastAsiaTheme="minorEastAsia" w:cstheme="minorEastAsia"/>
          <w:lang w:val="en-US" w:eastAsia="zh-CN"/>
        </w:rPr>
      </w:pPr>
    </w:p>
    <w:p w14:paraId="6E2331E8">
      <w:pPr>
        <w:pStyle w:val="4"/>
        <w:numPr>
          <w:ilvl w:val="0"/>
          <w:numId w:val="0"/>
        </w:numPr>
        <w:tabs>
          <w:tab w:val="left" w:pos="371"/>
        </w:tabs>
        <w:spacing w:before="120" w:after="120"/>
        <w:ind w:left="-1" w:leftChars="-1" w:hanging="1" w:firstLineChars="0"/>
        <w:jc w:val="center"/>
        <w:rPr>
          <w:rFonts w:hint="eastAsia" w:asciiTheme="minorEastAsia" w:hAnsiTheme="minorEastAsia" w:eastAsiaTheme="minorEastAsia" w:cstheme="minorEastAsia"/>
          <w:lang w:val="en-US" w:eastAsia="zh-CN"/>
        </w:rPr>
      </w:pPr>
    </w:p>
    <w:p w14:paraId="12659759">
      <w:pPr>
        <w:pStyle w:val="4"/>
        <w:numPr>
          <w:ilvl w:val="0"/>
          <w:numId w:val="0"/>
        </w:numPr>
        <w:tabs>
          <w:tab w:val="left" w:pos="371"/>
        </w:tabs>
        <w:spacing w:before="120" w:after="120"/>
        <w:ind w:left="-1" w:leftChars="-1" w:hanging="1" w:firstLineChars="0"/>
        <w:jc w:val="center"/>
        <w:rPr>
          <w:rFonts w:hint="eastAsia" w:asciiTheme="minorEastAsia" w:hAnsiTheme="minorEastAsia" w:eastAsiaTheme="minorEastAsia" w:cstheme="minorEastAsia"/>
          <w:lang w:val="en-US" w:eastAsia="zh-CN"/>
        </w:rPr>
      </w:pPr>
    </w:p>
    <w:p w14:paraId="14703642">
      <w:pP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br w:type="page"/>
      </w:r>
    </w:p>
    <w:p w14:paraId="2E1A7614">
      <w:pPr>
        <w:pStyle w:val="4"/>
        <w:numPr>
          <w:ilvl w:val="0"/>
          <w:numId w:val="0"/>
        </w:numPr>
        <w:tabs>
          <w:tab w:val="left" w:pos="371"/>
        </w:tabs>
        <w:spacing w:before="120" w:after="120"/>
        <w:ind w:left="-1" w:leftChars="-1" w:hanging="1" w:firstLineChars="0"/>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分类报价明细表</w:t>
      </w:r>
    </w:p>
    <w:p w14:paraId="3DB19BD8">
      <w:pPr>
        <w:numPr>
          <w:ilvl w:val="0"/>
          <w:numId w:val="0"/>
        </w:numPr>
        <w:spacing w:line="360" w:lineRule="auto"/>
        <w:rPr>
          <w:rFonts w:hint="eastAsia"/>
          <w:lang w:val="en-US" w:eastAsia="zh-CN"/>
        </w:rPr>
      </w:pPr>
      <w:r>
        <w:rPr>
          <w:rFonts w:hint="eastAsia"/>
          <w:lang w:val="en-US" w:eastAsia="zh-CN"/>
        </w:rPr>
        <w:t>项目名称：</w:t>
      </w:r>
      <w:r>
        <w:rPr>
          <w:rFonts w:hint="eastAsia" w:asciiTheme="minorEastAsia" w:hAnsiTheme="minorEastAsia" w:eastAsiaTheme="minorEastAsia" w:cstheme="minorEastAsia"/>
        </w:rPr>
        <w:t>深圳市新华医院</w:t>
      </w:r>
      <w:r>
        <w:rPr>
          <w:rFonts w:hint="eastAsia" w:asciiTheme="minorEastAsia" w:hAnsiTheme="minorEastAsia" w:eastAsiaTheme="minorEastAsia" w:cstheme="minorEastAsia"/>
          <w:lang w:val="en-US" w:eastAsia="zh-CN"/>
        </w:rPr>
        <w:t>碳13呼气检测仪采购</w:t>
      </w:r>
      <w:r>
        <w:rPr>
          <w:rFonts w:hint="eastAsia" w:asciiTheme="minorEastAsia" w:hAnsiTheme="minorEastAsia" w:eastAsiaTheme="minorEastAsia" w:cstheme="minorEastAsia"/>
        </w:rPr>
        <w:t>项目</w:t>
      </w:r>
    </w:p>
    <w:p w14:paraId="28CA7ED2">
      <w:pPr>
        <w:numPr>
          <w:ilvl w:val="0"/>
          <w:numId w:val="0"/>
        </w:numPr>
        <w:spacing w:line="360" w:lineRule="auto"/>
        <w:rPr>
          <w:rFonts w:hint="default"/>
          <w:lang w:val="en-US" w:eastAsia="zh-CN"/>
        </w:rPr>
      </w:pPr>
      <w:r>
        <w:rPr>
          <w:rFonts w:hint="eastAsia"/>
          <w:lang w:val="en-US" w:eastAsia="zh-CN"/>
        </w:rPr>
        <w:t>项目编号：XH-SB-2026001</w:t>
      </w:r>
    </w:p>
    <w:tbl>
      <w:tblPr>
        <w:tblStyle w:val="16"/>
        <w:tblpPr w:leftFromText="180" w:rightFromText="180" w:vertAnchor="text" w:horzAnchor="page" w:tblpX="864" w:tblpY="243"/>
        <w:tblOverlap w:val="never"/>
        <w:tblW w:w="10402"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47"/>
        <w:gridCol w:w="1199"/>
        <w:gridCol w:w="1149"/>
        <w:gridCol w:w="803"/>
        <w:gridCol w:w="874"/>
        <w:gridCol w:w="1051"/>
        <w:gridCol w:w="846"/>
        <w:gridCol w:w="846"/>
        <w:gridCol w:w="900"/>
        <w:gridCol w:w="846"/>
        <w:gridCol w:w="1241"/>
      </w:tblGrid>
      <w:tr w14:paraId="296EDD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6" w:hRule="atLeast"/>
        </w:trPr>
        <w:tc>
          <w:tcPr>
            <w:tcW w:w="10402" w:type="dxa"/>
            <w:gridSpan w:val="11"/>
            <w:tcBorders>
              <w:top w:val="single" w:color="auto" w:sz="4" w:space="0"/>
              <w:left w:val="single" w:color="auto" w:sz="4" w:space="0"/>
              <w:bottom w:val="single" w:color="auto" w:sz="4" w:space="0"/>
              <w:right w:val="single" w:color="auto" w:sz="4" w:space="0"/>
            </w:tcBorders>
            <w:noWrap w:val="0"/>
            <w:vAlign w:val="center"/>
          </w:tcPr>
          <w:p w14:paraId="61868BC9">
            <w:pPr>
              <w:tabs>
                <w:tab w:val="left" w:pos="315"/>
                <w:tab w:val="left" w:pos="510"/>
              </w:tabs>
              <w:adjustRightInd w:val="0"/>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b/>
                <w:bCs/>
                <w:szCs w:val="21"/>
                <w:lang w:val="zh-CN"/>
              </w:rPr>
              <w:t>一、</w:t>
            </w:r>
            <w:r>
              <w:rPr>
                <w:rFonts w:hint="eastAsia" w:asciiTheme="minorEastAsia" w:hAnsiTheme="minorEastAsia" w:eastAsiaTheme="minorEastAsia" w:cstheme="minorEastAsia"/>
                <w:b/>
                <w:bCs/>
                <w:szCs w:val="21"/>
                <w:lang w:val="zh-CN"/>
              </w:rPr>
              <w:tab/>
            </w:r>
            <w:r>
              <w:rPr>
                <w:rFonts w:hint="eastAsia" w:asciiTheme="minorEastAsia" w:hAnsiTheme="minorEastAsia" w:eastAsiaTheme="minorEastAsia" w:cstheme="minorEastAsia"/>
                <w:b/>
                <w:bCs/>
                <w:szCs w:val="21"/>
                <w:lang w:val="en-US" w:eastAsia="zh-CN"/>
              </w:rPr>
              <w:t>设备报价</w:t>
            </w:r>
            <w:r>
              <w:rPr>
                <w:rFonts w:hint="eastAsia" w:asciiTheme="minorEastAsia" w:hAnsiTheme="minorEastAsia" w:eastAsiaTheme="minorEastAsia" w:cstheme="minorEastAsia"/>
                <w:b/>
                <w:bCs/>
                <w:szCs w:val="21"/>
                <w:lang w:val="zh-CN"/>
              </w:rPr>
              <w:t>表</w:t>
            </w:r>
          </w:p>
        </w:tc>
      </w:tr>
      <w:tr w14:paraId="145A7C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6" w:hRule="atLeast"/>
        </w:trPr>
        <w:tc>
          <w:tcPr>
            <w:tcW w:w="647" w:type="dxa"/>
            <w:tcBorders>
              <w:top w:val="single" w:color="auto" w:sz="4" w:space="0"/>
              <w:left w:val="single" w:color="auto" w:sz="4" w:space="0"/>
              <w:bottom w:val="single" w:color="auto" w:sz="4" w:space="0"/>
              <w:right w:val="single" w:color="auto" w:sz="4" w:space="0"/>
            </w:tcBorders>
            <w:noWrap w:val="0"/>
            <w:vAlign w:val="center"/>
          </w:tcPr>
          <w:p w14:paraId="7D04463E">
            <w:pPr>
              <w:adjustRightInd w:val="0"/>
              <w:jc w:val="center"/>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序号</w:t>
            </w:r>
          </w:p>
        </w:tc>
        <w:tc>
          <w:tcPr>
            <w:tcW w:w="1199" w:type="dxa"/>
            <w:tcBorders>
              <w:top w:val="single" w:color="auto" w:sz="4" w:space="0"/>
              <w:left w:val="single" w:color="auto" w:sz="4" w:space="0"/>
              <w:bottom w:val="single" w:color="auto" w:sz="4" w:space="0"/>
              <w:right w:val="single" w:color="auto" w:sz="4" w:space="0"/>
            </w:tcBorders>
            <w:noWrap w:val="0"/>
            <w:vAlign w:val="center"/>
          </w:tcPr>
          <w:p w14:paraId="26D0F898">
            <w:pPr>
              <w:tabs>
                <w:tab w:val="left" w:pos="837"/>
              </w:tabs>
              <w:adjustRightInd w:val="0"/>
              <w:jc w:val="center"/>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en-US" w:eastAsia="zh-CN"/>
              </w:rPr>
              <w:t>设备</w:t>
            </w:r>
            <w:r>
              <w:rPr>
                <w:rFonts w:hint="eastAsia" w:asciiTheme="minorEastAsia" w:hAnsiTheme="minorEastAsia" w:eastAsiaTheme="minorEastAsia" w:cstheme="minorEastAsia"/>
                <w:szCs w:val="21"/>
                <w:lang w:val="zh-CN"/>
              </w:rPr>
              <w:t>名称</w:t>
            </w:r>
          </w:p>
        </w:tc>
        <w:tc>
          <w:tcPr>
            <w:tcW w:w="1149" w:type="dxa"/>
            <w:tcBorders>
              <w:top w:val="single" w:color="auto" w:sz="4" w:space="0"/>
              <w:left w:val="single" w:color="auto" w:sz="4" w:space="0"/>
              <w:bottom w:val="single" w:color="auto" w:sz="4" w:space="0"/>
              <w:right w:val="single" w:color="auto" w:sz="4" w:space="0"/>
            </w:tcBorders>
            <w:noWrap w:val="0"/>
            <w:vAlign w:val="center"/>
          </w:tcPr>
          <w:p w14:paraId="138185E0">
            <w:pPr>
              <w:tabs>
                <w:tab w:val="left" w:pos="837"/>
              </w:tabs>
              <w:adjustRightInd w:val="0"/>
              <w:jc w:val="center"/>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制造商</w:t>
            </w:r>
          </w:p>
        </w:tc>
        <w:tc>
          <w:tcPr>
            <w:tcW w:w="803" w:type="dxa"/>
            <w:tcBorders>
              <w:top w:val="single" w:color="auto" w:sz="4" w:space="0"/>
              <w:left w:val="single" w:color="auto" w:sz="4" w:space="0"/>
              <w:bottom w:val="single" w:color="auto" w:sz="4" w:space="0"/>
              <w:right w:val="single" w:color="auto" w:sz="4" w:space="0"/>
            </w:tcBorders>
            <w:noWrap w:val="0"/>
            <w:vAlign w:val="center"/>
          </w:tcPr>
          <w:p w14:paraId="500BA70A">
            <w:pPr>
              <w:adjustRightInd w:val="0"/>
              <w:jc w:val="center"/>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品 牌</w:t>
            </w:r>
          </w:p>
        </w:tc>
        <w:tc>
          <w:tcPr>
            <w:tcW w:w="874" w:type="dxa"/>
            <w:tcBorders>
              <w:top w:val="single" w:color="auto" w:sz="4" w:space="0"/>
              <w:left w:val="single" w:color="auto" w:sz="4" w:space="0"/>
              <w:bottom w:val="single" w:color="auto" w:sz="4" w:space="0"/>
              <w:right w:val="single" w:color="auto" w:sz="4" w:space="0"/>
            </w:tcBorders>
            <w:noWrap w:val="0"/>
            <w:vAlign w:val="center"/>
          </w:tcPr>
          <w:p w14:paraId="0A89BB54">
            <w:pPr>
              <w:adjustRightInd w:val="0"/>
              <w:jc w:val="center"/>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原产地</w:t>
            </w:r>
          </w:p>
        </w:tc>
        <w:tc>
          <w:tcPr>
            <w:tcW w:w="1051" w:type="dxa"/>
            <w:tcBorders>
              <w:top w:val="single" w:color="auto" w:sz="4" w:space="0"/>
              <w:left w:val="single" w:color="auto" w:sz="4" w:space="0"/>
              <w:bottom w:val="single" w:color="auto" w:sz="4" w:space="0"/>
              <w:right w:val="single" w:color="auto" w:sz="4" w:space="0"/>
            </w:tcBorders>
            <w:noWrap w:val="0"/>
            <w:vAlign w:val="center"/>
          </w:tcPr>
          <w:p w14:paraId="1D5AABE9">
            <w:pPr>
              <w:adjustRightInd w:val="0"/>
              <w:jc w:val="center"/>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规格型号</w:t>
            </w:r>
          </w:p>
        </w:tc>
        <w:tc>
          <w:tcPr>
            <w:tcW w:w="846" w:type="dxa"/>
            <w:tcBorders>
              <w:top w:val="single" w:color="auto" w:sz="4" w:space="0"/>
              <w:left w:val="single" w:color="auto" w:sz="4" w:space="0"/>
              <w:bottom w:val="single" w:color="auto" w:sz="4" w:space="0"/>
              <w:right w:val="single" w:color="auto" w:sz="4" w:space="0"/>
            </w:tcBorders>
            <w:noWrap w:val="0"/>
            <w:vAlign w:val="center"/>
          </w:tcPr>
          <w:p w14:paraId="40AB34C6">
            <w:pPr>
              <w:adjustRightInd w:val="0"/>
              <w:jc w:val="center"/>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数量</w:t>
            </w:r>
          </w:p>
        </w:tc>
        <w:tc>
          <w:tcPr>
            <w:tcW w:w="846" w:type="dxa"/>
            <w:tcBorders>
              <w:top w:val="single" w:color="auto" w:sz="4" w:space="0"/>
              <w:left w:val="single" w:color="auto" w:sz="4" w:space="0"/>
              <w:bottom w:val="single" w:color="auto" w:sz="4" w:space="0"/>
              <w:right w:val="single" w:color="auto" w:sz="4" w:space="0"/>
            </w:tcBorders>
            <w:noWrap w:val="0"/>
            <w:vAlign w:val="center"/>
          </w:tcPr>
          <w:p w14:paraId="315F0AF7">
            <w:pPr>
              <w:adjustRightInd w:val="0"/>
              <w:jc w:val="center"/>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单</w:t>
            </w:r>
            <w:r>
              <w:rPr>
                <w:rFonts w:hint="eastAsia" w:asciiTheme="minorEastAsia" w:hAnsiTheme="minorEastAsia" w:eastAsiaTheme="minorEastAsia" w:cstheme="minorEastAsia"/>
                <w:szCs w:val="21"/>
              </w:rPr>
              <w:t>位</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78D5A320">
            <w:pPr>
              <w:adjustRightInd w:val="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单价</w:t>
            </w:r>
            <w:r>
              <w:rPr>
                <w:rFonts w:hint="eastAsia" w:asciiTheme="minorEastAsia" w:hAnsiTheme="minorEastAsia" w:eastAsiaTheme="minorEastAsia" w:cstheme="minorEastAsia"/>
                <w:szCs w:val="21"/>
                <w:lang w:val="en-US" w:eastAsia="zh-CN"/>
              </w:rPr>
              <w:t>（元）</w:t>
            </w:r>
          </w:p>
        </w:tc>
        <w:tc>
          <w:tcPr>
            <w:tcW w:w="846" w:type="dxa"/>
            <w:tcBorders>
              <w:top w:val="single" w:color="auto" w:sz="4" w:space="0"/>
              <w:left w:val="single" w:color="auto" w:sz="4" w:space="0"/>
              <w:bottom w:val="single" w:color="auto" w:sz="4" w:space="0"/>
              <w:right w:val="single" w:color="auto" w:sz="4" w:space="0"/>
            </w:tcBorders>
            <w:noWrap w:val="0"/>
            <w:vAlign w:val="center"/>
          </w:tcPr>
          <w:p w14:paraId="45909715">
            <w:pPr>
              <w:adjustRightInd w:val="0"/>
              <w:jc w:val="center"/>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总价</w:t>
            </w:r>
            <w:r>
              <w:rPr>
                <w:rFonts w:hint="eastAsia" w:asciiTheme="minorEastAsia" w:hAnsiTheme="minorEastAsia" w:eastAsiaTheme="minorEastAsia" w:cstheme="minorEastAsia"/>
                <w:szCs w:val="21"/>
                <w:lang w:val="en-US" w:eastAsia="zh-CN"/>
              </w:rPr>
              <w:t>（元）</w:t>
            </w:r>
          </w:p>
        </w:tc>
        <w:tc>
          <w:tcPr>
            <w:tcW w:w="1241" w:type="dxa"/>
            <w:tcBorders>
              <w:top w:val="single" w:color="auto" w:sz="4" w:space="0"/>
              <w:left w:val="single" w:color="auto" w:sz="4" w:space="0"/>
              <w:bottom w:val="single" w:color="auto" w:sz="4" w:space="0"/>
              <w:right w:val="single" w:color="auto" w:sz="4" w:space="0"/>
            </w:tcBorders>
            <w:noWrap w:val="0"/>
            <w:vAlign w:val="center"/>
          </w:tcPr>
          <w:p w14:paraId="648CB7CD">
            <w:pPr>
              <w:adjustRightInd w:val="0"/>
              <w:jc w:val="center"/>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备注</w:t>
            </w:r>
          </w:p>
        </w:tc>
      </w:tr>
      <w:tr w14:paraId="79F4CE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71" w:hRule="atLeast"/>
        </w:trPr>
        <w:tc>
          <w:tcPr>
            <w:tcW w:w="647" w:type="dxa"/>
            <w:tcBorders>
              <w:top w:val="single" w:color="auto" w:sz="4" w:space="0"/>
              <w:left w:val="single" w:color="auto" w:sz="4" w:space="0"/>
              <w:bottom w:val="single" w:color="auto" w:sz="4" w:space="0"/>
              <w:right w:val="single" w:color="auto" w:sz="4" w:space="0"/>
            </w:tcBorders>
            <w:noWrap w:val="0"/>
            <w:vAlign w:val="center"/>
          </w:tcPr>
          <w:p w14:paraId="1D04AA99">
            <w:pPr>
              <w:adjustRightInd w:val="0"/>
              <w:jc w:val="center"/>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1</w:t>
            </w:r>
          </w:p>
        </w:tc>
        <w:tc>
          <w:tcPr>
            <w:tcW w:w="1199" w:type="dxa"/>
            <w:tcBorders>
              <w:top w:val="single" w:color="auto" w:sz="4" w:space="0"/>
              <w:left w:val="single" w:color="auto" w:sz="4" w:space="0"/>
              <w:bottom w:val="single" w:color="auto" w:sz="4" w:space="0"/>
              <w:right w:val="single" w:color="auto" w:sz="4" w:space="0"/>
            </w:tcBorders>
            <w:noWrap w:val="0"/>
            <w:vAlign w:val="center"/>
          </w:tcPr>
          <w:p w14:paraId="2A30D047">
            <w:pPr>
              <w:keepNext w:val="0"/>
              <w:keepLines w:val="0"/>
              <w:pageBreakBefore w:val="0"/>
              <w:widowControl/>
              <w:wordWrap/>
              <w:overflowPunct/>
              <w:topLinePunct w:val="0"/>
              <w:bidi w:val="0"/>
              <w:spacing w:line="380" w:lineRule="exact"/>
              <w:jc w:val="center"/>
              <w:textAlignment w:val="center"/>
              <w:rPr>
                <w:rFonts w:hint="eastAsia" w:asciiTheme="minorEastAsia" w:hAnsiTheme="minorEastAsia" w:eastAsiaTheme="minorEastAsia" w:cstheme="minorEastAsia"/>
                <w:color w:val="000000"/>
                <w:kern w:val="0"/>
                <w:sz w:val="21"/>
                <w:szCs w:val="21"/>
                <w:lang w:val="zh-CN" w:eastAsia="zh-CN" w:bidi="ar"/>
              </w:rPr>
            </w:pPr>
          </w:p>
        </w:tc>
        <w:tc>
          <w:tcPr>
            <w:tcW w:w="1149" w:type="dxa"/>
            <w:tcBorders>
              <w:top w:val="single" w:color="auto" w:sz="4" w:space="0"/>
              <w:left w:val="single" w:color="auto" w:sz="4" w:space="0"/>
              <w:bottom w:val="single" w:color="auto" w:sz="4" w:space="0"/>
              <w:right w:val="single" w:color="auto" w:sz="4" w:space="0"/>
            </w:tcBorders>
            <w:noWrap w:val="0"/>
            <w:vAlign w:val="center"/>
          </w:tcPr>
          <w:p w14:paraId="201097CF">
            <w:pPr>
              <w:keepNext w:val="0"/>
              <w:keepLines w:val="0"/>
              <w:pageBreakBefore w:val="0"/>
              <w:widowControl/>
              <w:wordWrap/>
              <w:overflowPunct/>
              <w:topLinePunct w:val="0"/>
              <w:bidi w:val="0"/>
              <w:spacing w:line="380" w:lineRule="exact"/>
              <w:jc w:val="center"/>
              <w:textAlignment w:val="center"/>
              <w:rPr>
                <w:rFonts w:hint="eastAsia" w:asciiTheme="minorEastAsia" w:hAnsiTheme="minorEastAsia" w:eastAsiaTheme="minorEastAsia" w:cstheme="minorEastAsia"/>
                <w:color w:val="000000"/>
                <w:kern w:val="0"/>
                <w:sz w:val="21"/>
                <w:szCs w:val="21"/>
                <w:lang w:val="zh-CN" w:eastAsia="zh-CN" w:bidi="ar"/>
              </w:rPr>
            </w:pPr>
          </w:p>
        </w:tc>
        <w:tc>
          <w:tcPr>
            <w:tcW w:w="803" w:type="dxa"/>
            <w:tcBorders>
              <w:top w:val="single" w:color="auto" w:sz="4" w:space="0"/>
              <w:left w:val="single" w:color="auto" w:sz="4" w:space="0"/>
              <w:bottom w:val="single" w:color="auto" w:sz="4" w:space="0"/>
              <w:right w:val="single" w:color="auto" w:sz="4" w:space="0"/>
            </w:tcBorders>
            <w:noWrap w:val="0"/>
            <w:vAlign w:val="center"/>
          </w:tcPr>
          <w:p w14:paraId="3A792D5A">
            <w:pPr>
              <w:keepNext w:val="0"/>
              <w:keepLines w:val="0"/>
              <w:pageBreakBefore w:val="0"/>
              <w:widowControl/>
              <w:wordWrap/>
              <w:overflowPunct/>
              <w:topLinePunct w:val="0"/>
              <w:bidi w:val="0"/>
              <w:spacing w:line="380" w:lineRule="exact"/>
              <w:jc w:val="center"/>
              <w:textAlignment w:val="center"/>
              <w:rPr>
                <w:rFonts w:hint="eastAsia" w:asciiTheme="minorEastAsia" w:hAnsiTheme="minorEastAsia" w:eastAsiaTheme="minorEastAsia" w:cstheme="minorEastAsia"/>
                <w:color w:val="000000"/>
                <w:kern w:val="0"/>
                <w:sz w:val="21"/>
                <w:szCs w:val="21"/>
                <w:lang w:val="zh-CN" w:eastAsia="zh-CN" w:bidi="ar"/>
              </w:rPr>
            </w:pPr>
          </w:p>
        </w:tc>
        <w:tc>
          <w:tcPr>
            <w:tcW w:w="874" w:type="dxa"/>
            <w:tcBorders>
              <w:top w:val="single" w:color="auto" w:sz="4" w:space="0"/>
              <w:left w:val="single" w:color="auto" w:sz="4" w:space="0"/>
              <w:bottom w:val="single" w:color="auto" w:sz="4" w:space="0"/>
              <w:right w:val="single" w:color="auto" w:sz="4" w:space="0"/>
            </w:tcBorders>
            <w:noWrap w:val="0"/>
            <w:vAlign w:val="center"/>
          </w:tcPr>
          <w:p w14:paraId="30776D04">
            <w:pPr>
              <w:adjustRightInd w:val="0"/>
              <w:jc w:val="center"/>
              <w:rPr>
                <w:rFonts w:hint="eastAsia" w:asciiTheme="minorEastAsia" w:hAnsiTheme="minorEastAsia" w:eastAsiaTheme="minorEastAsia" w:cstheme="minorEastAsia"/>
                <w:szCs w:val="21"/>
                <w:lang w:val="zh-CN"/>
              </w:rPr>
            </w:pPr>
          </w:p>
        </w:tc>
        <w:tc>
          <w:tcPr>
            <w:tcW w:w="1051" w:type="dxa"/>
            <w:tcBorders>
              <w:top w:val="single" w:color="auto" w:sz="4" w:space="0"/>
              <w:left w:val="single" w:color="auto" w:sz="4" w:space="0"/>
              <w:bottom w:val="single" w:color="auto" w:sz="4" w:space="0"/>
              <w:right w:val="single" w:color="auto" w:sz="4" w:space="0"/>
            </w:tcBorders>
            <w:noWrap w:val="0"/>
            <w:vAlign w:val="center"/>
          </w:tcPr>
          <w:p w14:paraId="7689BA3A">
            <w:pPr>
              <w:adjustRightInd w:val="0"/>
              <w:jc w:val="center"/>
              <w:rPr>
                <w:rFonts w:hint="eastAsia" w:asciiTheme="minorEastAsia" w:hAnsiTheme="minorEastAsia" w:eastAsiaTheme="minorEastAsia" w:cstheme="minorEastAsia"/>
                <w:szCs w:val="21"/>
                <w:lang w:val="zh-CN"/>
              </w:rPr>
            </w:pPr>
          </w:p>
        </w:tc>
        <w:tc>
          <w:tcPr>
            <w:tcW w:w="846" w:type="dxa"/>
            <w:tcBorders>
              <w:top w:val="single" w:color="auto" w:sz="4" w:space="0"/>
              <w:left w:val="single" w:color="auto" w:sz="4" w:space="0"/>
              <w:bottom w:val="single" w:color="auto" w:sz="4" w:space="0"/>
              <w:right w:val="single" w:color="auto" w:sz="4" w:space="0"/>
            </w:tcBorders>
            <w:noWrap w:val="0"/>
            <w:vAlign w:val="center"/>
          </w:tcPr>
          <w:p w14:paraId="201149C6">
            <w:pPr>
              <w:keepNext w:val="0"/>
              <w:keepLines w:val="0"/>
              <w:pageBreakBefore w:val="0"/>
              <w:widowControl/>
              <w:wordWrap/>
              <w:overflowPunct/>
              <w:topLinePunct w:val="0"/>
              <w:bidi w:val="0"/>
              <w:spacing w:line="380" w:lineRule="exact"/>
              <w:jc w:val="center"/>
              <w:textAlignment w:val="center"/>
              <w:rPr>
                <w:rFonts w:hint="eastAsia" w:asciiTheme="minorEastAsia" w:hAnsiTheme="minorEastAsia" w:eastAsiaTheme="minorEastAsia" w:cstheme="minorEastAsia"/>
                <w:szCs w:val="21"/>
                <w:lang w:val="zh-CN"/>
              </w:rPr>
            </w:pPr>
          </w:p>
        </w:tc>
        <w:tc>
          <w:tcPr>
            <w:tcW w:w="846" w:type="dxa"/>
            <w:tcBorders>
              <w:top w:val="single" w:color="auto" w:sz="4" w:space="0"/>
              <w:left w:val="single" w:color="auto" w:sz="4" w:space="0"/>
              <w:bottom w:val="single" w:color="auto" w:sz="4" w:space="0"/>
              <w:right w:val="single" w:color="auto" w:sz="4" w:space="0"/>
            </w:tcBorders>
            <w:noWrap w:val="0"/>
            <w:vAlign w:val="center"/>
          </w:tcPr>
          <w:p w14:paraId="6FFFD8A1">
            <w:pPr>
              <w:keepNext w:val="0"/>
              <w:keepLines w:val="0"/>
              <w:pageBreakBefore w:val="0"/>
              <w:widowControl/>
              <w:wordWrap/>
              <w:overflowPunct/>
              <w:topLinePunct w:val="0"/>
              <w:bidi w:val="0"/>
              <w:spacing w:line="380" w:lineRule="exact"/>
              <w:jc w:val="center"/>
              <w:textAlignment w:val="center"/>
              <w:rPr>
                <w:rFonts w:hint="eastAsia" w:asciiTheme="minorEastAsia" w:hAnsiTheme="minorEastAsia" w:eastAsiaTheme="minorEastAsia" w:cstheme="minorEastAsia"/>
                <w:color w:val="000000"/>
                <w:kern w:val="0"/>
                <w:sz w:val="21"/>
                <w:szCs w:val="21"/>
                <w:lang w:val="zh-CN" w:eastAsia="zh-CN" w:bidi="ar"/>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503A768A">
            <w:pPr>
              <w:keepNext w:val="0"/>
              <w:keepLines w:val="0"/>
              <w:pageBreakBefore w:val="0"/>
              <w:widowControl/>
              <w:wordWrap/>
              <w:overflowPunct/>
              <w:topLinePunct w:val="0"/>
              <w:bidi w:val="0"/>
              <w:spacing w:line="380" w:lineRule="exact"/>
              <w:jc w:val="center"/>
              <w:textAlignment w:val="center"/>
              <w:rPr>
                <w:rFonts w:hint="eastAsia" w:asciiTheme="minorEastAsia" w:hAnsiTheme="minorEastAsia" w:eastAsiaTheme="minorEastAsia" w:cstheme="minorEastAsia"/>
                <w:color w:val="000000"/>
                <w:kern w:val="0"/>
                <w:sz w:val="21"/>
                <w:szCs w:val="21"/>
                <w:lang w:val="zh-CN" w:eastAsia="zh-CN" w:bidi="ar"/>
              </w:rPr>
            </w:pPr>
          </w:p>
        </w:tc>
        <w:tc>
          <w:tcPr>
            <w:tcW w:w="846" w:type="dxa"/>
            <w:tcBorders>
              <w:top w:val="single" w:color="auto" w:sz="4" w:space="0"/>
              <w:left w:val="single" w:color="auto" w:sz="4" w:space="0"/>
              <w:bottom w:val="single" w:color="auto" w:sz="4" w:space="0"/>
              <w:right w:val="single" w:color="auto" w:sz="4" w:space="0"/>
            </w:tcBorders>
            <w:noWrap w:val="0"/>
            <w:vAlign w:val="center"/>
          </w:tcPr>
          <w:p w14:paraId="0E296D16">
            <w:pPr>
              <w:adjustRightInd w:val="0"/>
              <w:jc w:val="center"/>
              <w:rPr>
                <w:rFonts w:hint="eastAsia" w:asciiTheme="minorEastAsia" w:hAnsiTheme="minorEastAsia" w:eastAsiaTheme="minorEastAsia" w:cstheme="minorEastAsia"/>
                <w:szCs w:val="21"/>
                <w:lang w:val="zh-CN"/>
              </w:rPr>
            </w:pPr>
          </w:p>
        </w:tc>
        <w:tc>
          <w:tcPr>
            <w:tcW w:w="1241" w:type="dxa"/>
            <w:tcBorders>
              <w:top w:val="single" w:color="auto" w:sz="4" w:space="0"/>
              <w:left w:val="single" w:color="auto" w:sz="4" w:space="0"/>
              <w:bottom w:val="single" w:color="auto" w:sz="4" w:space="0"/>
              <w:right w:val="single" w:color="auto" w:sz="4" w:space="0"/>
            </w:tcBorders>
            <w:noWrap w:val="0"/>
            <w:vAlign w:val="center"/>
          </w:tcPr>
          <w:p w14:paraId="25D9C763">
            <w:pPr>
              <w:adjustRightInd w:val="0"/>
              <w:jc w:val="center"/>
              <w:rPr>
                <w:rFonts w:hint="eastAsia" w:asciiTheme="minorEastAsia" w:hAnsiTheme="minorEastAsia" w:eastAsiaTheme="minorEastAsia" w:cstheme="minorEastAsia"/>
                <w:szCs w:val="21"/>
                <w:lang w:val="zh-CN"/>
              </w:rPr>
            </w:pPr>
          </w:p>
        </w:tc>
      </w:tr>
      <w:tr w14:paraId="69AB58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6" w:hRule="atLeast"/>
        </w:trPr>
        <w:tc>
          <w:tcPr>
            <w:tcW w:w="10402" w:type="dxa"/>
            <w:gridSpan w:val="11"/>
            <w:tcBorders>
              <w:top w:val="single" w:color="auto" w:sz="4" w:space="0"/>
              <w:left w:val="single" w:color="auto" w:sz="4" w:space="0"/>
              <w:bottom w:val="single" w:color="auto" w:sz="4" w:space="0"/>
              <w:right w:val="single" w:color="auto" w:sz="4" w:space="0"/>
            </w:tcBorders>
            <w:noWrap w:val="0"/>
            <w:vAlign w:val="center"/>
          </w:tcPr>
          <w:p w14:paraId="3DD4262F">
            <w:pPr>
              <w:tabs>
                <w:tab w:val="left" w:pos="315"/>
                <w:tab w:val="left" w:pos="510"/>
              </w:tabs>
              <w:adjustRightInd w:val="0"/>
              <w:rPr>
                <w:rFonts w:hint="default"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b/>
                <w:bCs/>
                <w:szCs w:val="21"/>
                <w:lang w:val="en-US" w:eastAsia="zh-CN"/>
              </w:rPr>
              <w:t>二、耗材报价表</w:t>
            </w:r>
          </w:p>
        </w:tc>
      </w:tr>
      <w:tr w14:paraId="0DD5F7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6" w:hRule="atLeast"/>
        </w:trPr>
        <w:tc>
          <w:tcPr>
            <w:tcW w:w="647" w:type="dxa"/>
            <w:tcBorders>
              <w:top w:val="single" w:color="auto" w:sz="4" w:space="0"/>
              <w:left w:val="single" w:color="auto" w:sz="4" w:space="0"/>
              <w:bottom w:val="single" w:color="auto" w:sz="4" w:space="0"/>
              <w:right w:val="single" w:color="auto" w:sz="4" w:space="0"/>
            </w:tcBorders>
            <w:noWrap w:val="0"/>
            <w:vAlign w:val="center"/>
          </w:tcPr>
          <w:p w14:paraId="7572B2D5">
            <w:pPr>
              <w:adjustRightInd w:val="0"/>
              <w:jc w:val="cente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zh-CN"/>
              </w:rPr>
              <w:t>序号</w:t>
            </w:r>
          </w:p>
        </w:tc>
        <w:tc>
          <w:tcPr>
            <w:tcW w:w="1199" w:type="dxa"/>
            <w:tcBorders>
              <w:top w:val="single" w:color="auto" w:sz="4" w:space="0"/>
              <w:left w:val="single" w:color="auto" w:sz="4" w:space="0"/>
              <w:bottom w:val="single" w:color="auto" w:sz="4" w:space="0"/>
              <w:right w:val="single" w:color="auto" w:sz="4" w:space="0"/>
            </w:tcBorders>
            <w:noWrap w:val="0"/>
            <w:vAlign w:val="center"/>
          </w:tcPr>
          <w:p w14:paraId="3E772B66">
            <w:pPr>
              <w:tabs>
                <w:tab w:val="left" w:pos="837"/>
              </w:tabs>
              <w:adjustRightInd w:val="0"/>
              <w:jc w:val="center"/>
              <w:rPr>
                <w:rFonts w:hint="default"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szCs w:val="21"/>
                <w:lang w:val="en-US" w:eastAsia="zh-CN"/>
              </w:rPr>
              <w:t>医用耗材</w:t>
            </w:r>
            <w:r>
              <w:rPr>
                <w:rFonts w:hint="eastAsia" w:asciiTheme="minorEastAsia" w:hAnsiTheme="minorEastAsia" w:cstheme="minorEastAsia"/>
                <w:szCs w:val="21"/>
                <w:lang w:val="en-US" w:eastAsia="zh-CN"/>
              </w:rPr>
              <w:t>/药品</w:t>
            </w:r>
            <w:r>
              <w:rPr>
                <w:rFonts w:hint="eastAsia" w:asciiTheme="minorEastAsia" w:hAnsiTheme="minorEastAsia" w:eastAsiaTheme="minorEastAsia" w:cstheme="minorEastAsia"/>
                <w:szCs w:val="21"/>
                <w:lang w:val="en-US" w:eastAsia="zh-CN"/>
              </w:rPr>
              <w:t>名称</w:t>
            </w:r>
          </w:p>
        </w:tc>
        <w:tc>
          <w:tcPr>
            <w:tcW w:w="1149" w:type="dxa"/>
            <w:tcBorders>
              <w:top w:val="single" w:color="auto" w:sz="4" w:space="0"/>
              <w:left w:val="single" w:color="auto" w:sz="4" w:space="0"/>
              <w:bottom w:val="single" w:color="auto" w:sz="4" w:space="0"/>
              <w:right w:val="single" w:color="auto" w:sz="4" w:space="0"/>
            </w:tcBorders>
            <w:noWrap w:val="0"/>
            <w:vAlign w:val="center"/>
          </w:tcPr>
          <w:p w14:paraId="6125CBEA">
            <w:pPr>
              <w:tabs>
                <w:tab w:val="left" w:pos="837"/>
              </w:tabs>
              <w:adjustRightInd w:val="0"/>
              <w:jc w:val="center"/>
              <w:rPr>
                <w:rFonts w:hint="default"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cstheme="minorEastAsia"/>
                <w:szCs w:val="21"/>
                <w:lang w:val="en-US" w:eastAsia="zh-CN"/>
              </w:rPr>
              <w:t>阳光平台代码/</w:t>
            </w:r>
            <w:r>
              <w:rPr>
                <w:rFonts w:hint="eastAsia" w:asciiTheme="minorEastAsia" w:hAnsiTheme="minorEastAsia" w:eastAsiaTheme="minorEastAsia" w:cstheme="minorEastAsia"/>
                <w:szCs w:val="21"/>
                <w:lang w:val="en-US" w:eastAsia="zh-CN"/>
              </w:rPr>
              <w:t>平台药交ID</w:t>
            </w:r>
          </w:p>
        </w:tc>
        <w:tc>
          <w:tcPr>
            <w:tcW w:w="803" w:type="dxa"/>
            <w:tcBorders>
              <w:top w:val="single" w:color="auto" w:sz="4" w:space="0"/>
              <w:left w:val="single" w:color="auto" w:sz="4" w:space="0"/>
              <w:bottom w:val="single" w:color="auto" w:sz="4" w:space="0"/>
              <w:right w:val="single" w:color="auto" w:sz="4" w:space="0"/>
            </w:tcBorders>
            <w:noWrap w:val="0"/>
            <w:vAlign w:val="center"/>
          </w:tcPr>
          <w:p w14:paraId="17C2D0C4">
            <w:pPr>
              <w:adjustRightInd w:val="0"/>
              <w:jc w:val="center"/>
              <w:rPr>
                <w:rFonts w:hint="default"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color w:val="000000"/>
                <w:kern w:val="0"/>
                <w:sz w:val="21"/>
                <w:szCs w:val="21"/>
                <w:lang w:val="en-US" w:eastAsia="zh-CN" w:bidi="ar"/>
              </w:rPr>
              <w:t>规格</w:t>
            </w:r>
          </w:p>
        </w:tc>
        <w:tc>
          <w:tcPr>
            <w:tcW w:w="874" w:type="dxa"/>
            <w:tcBorders>
              <w:top w:val="single" w:color="auto" w:sz="4" w:space="0"/>
              <w:left w:val="single" w:color="auto" w:sz="4" w:space="0"/>
              <w:bottom w:val="single" w:color="auto" w:sz="4" w:space="0"/>
              <w:right w:val="single" w:color="auto" w:sz="4" w:space="0"/>
            </w:tcBorders>
            <w:noWrap w:val="0"/>
            <w:vAlign w:val="center"/>
          </w:tcPr>
          <w:p w14:paraId="73B6F6C4">
            <w:pPr>
              <w:adjustRightInd w:val="0"/>
              <w:jc w:val="center"/>
              <w:rPr>
                <w:rFonts w:hint="eastAsia" w:asciiTheme="minorEastAsia" w:hAnsiTheme="minorEastAsia" w:eastAsiaTheme="minorEastAsia" w:cstheme="minorEastAsia"/>
                <w:szCs w:val="21"/>
                <w:lang w:val="zh-CN" w:eastAsia="zh-CN"/>
              </w:rPr>
            </w:pPr>
            <w:r>
              <w:rPr>
                <w:rFonts w:hint="eastAsia" w:asciiTheme="minorEastAsia" w:hAnsiTheme="minorEastAsia" w:eastAsiaTheme="minorEastAsia" w:cstheme="minorEastAsia"/>
                <w:szCs w:val="21"/>
                <w:lang w:val="en-US" w:eastAsia="zh-CN"/>
              </w:rPr>
              <w:t>型号</w:t>
            </w:r>
          </w:p>
        </w:tc>
        <w:tc>
          <w:tcPr>
            <w:tcW w:w="1051" w:type="dxa"/>
            <w:tcBorders>
              <w:top w:val="single" w:color="auto" w:sz="4" w:space="0"/>
              <w:left w:val="single" w:color="auto" w:sz="4" w:space="0"/>
              <w:bottom w:val="single" w:color="auto" w:sz="4" w:space="0"/>
              <w:right w:val="single" w:color="auto" w:sz="4" w:space="0"/>
            </w:tcBorders>
            <w:noWrap w:val="0"/>
            <w:vAlign w:val="center"/>
          </w:tcPr>
          <w:p w14:paraId="2CC67271">
            <w:pPr>
              <w:adjustRightInd w:val="0"/>
              <w:jc w:val="center"/>
              <w:rPr>
                <w:rFonts w:hint="eastAsia" w:asciiTheme="minorEastAsia" w:hAnsiTheme="minorEastAsia" w:eastAsiaTheme="minorEastAsia" w:cstheme="minorEastAsia"/>
                <w:szCs w:val="21"/>
                <w:lang w:val="zh-CN" w:eastAsia="zh-CN"/>
              </w:rPr>
            </w:pPr>
            <w:r>
              <w:rPr>
                <w:rFonts w:hint="eastAsia" w:asciiTheme="minorEastAsia" w:hAnsiTheme="minorEastAsia" w:eastAsiaTheme="minorEastAsia" w:cstheme="minorEastAsia"/>
                <w:szCs w:val="21"/>
                <w:lang w:val="en-US" w:eastAsia="zh-CN"/>
              </w:rPr>
              <w:t>单位</w:t>
            </w:r>
          </w:p>
        </w:tc>
        <w:tc>
          <w:tcPr>
            <w:tcW w:w="846" w:type="dxa"/>
            <w:tcBorders>
              <w:top w:val="single" w:color="auto" w:sz="4" w:space="0"/>
              <w:left w:val="single" w:color="auto" w:sz="4" w:space="0"/>
              <w:bottom w:val="single" w:color="auto" w:sz="4" w:space="0"/>
              <w:right w:val="single" w:color="auto" w:sz="4" w:space="0"/>
            </w:tcBorders>
            <w:noWrap w:val="0"/>
            <w:vAlign w:val="center"/>
          </w:tcPr>
          <w:p w14:paraId="6344379A">
            <w:pPr>
              <w:adjustRightInd w:val="0"/>
              <w:jc w:val="center"/>
              <w:rPr>
                <w:rFonts w:hint="eastAsia" w:asciiTheme="minorEastAsia" w:hAnsiTheme="minorEastAsia" w:eastAsiaTheme="minorEastAsia" w:cstheme="minorEastAsia"/>
                <w:szCs w:val="21"/>
                <w:lang w:val="zh-CN" w:eastAsia="zh-CN"/>
              </w:rPr>
            </w:pPr>
            <w:r>
              <w:rPr>
                <w:rFonts w:hint="eastAsia" w:asciiTheme="minorEastAsia" w:hAnsiTheme="minorEastAsia" w:eastAsiaTheme="minorEastAsia" w:cstheme="minorEastAsia"/>
                <w:szCs w:val="21"/>
                <w:lang w:val="en-US" w:eastAsia="zh-CN"/>
              </w:rPr>
              <w:t>报价（元）</w:t>
            </w:r>
          </w:p>
        </w:tc>
        <w:tc>
          <w:tcPr>
            <w:tcW w:w="846" w:type="dxa"/>
            <w:tcBorders>
              <w:top w:val="single" w:color="auto" w:sz="4" w:space="0"/>
              <w:left w:val="single" w:color="auto" w:sz="4" w:space="0"/>
              <w:bottom w:val="single" w:color="auto" w:sz="4" w:space="0"/>
              <w:right w:val="single" w:color="auto" w:sz="4" w:space="0"/>
            </w:tcBorders>
            <w:noWrap w:val="0"/>
            <w:vAlign w:val="center"/>
          </w:tcPr>
          <w:p w14:paraId="0DBB13D6">
            <w:pPr>
              <w:adjustRightInd w:val="0"/>
              <w:jc w:val="center"/>
              <w:rPr>
                <w:rFonts w:hint="eastAsia" w:asciiTheme="minorEastAsia" w:hAnsiTheme="minorEastAsia" w:eastAsiaTheme="minorEastAsia" w:cstheme="minorEastAsia"/>
                <w:color w:val="000000"/>
                <w:kern w:val="0"/>
                <w:sz w:val="21"/>
                <w:szCs w:val="21"/>
                <w:lang w:val="zh-CN" w:eastAsia="zh-CN" w:bidi="ar"/>
              </w:rPr>
            </w:pPr>
            <w:r>
              <w:rPr>
                <w:rFonts w:hint="eastAsia" w:asciiTheme="minorEastAsia" w:hAnsiTheme="minorEastAsia" w:eastAsiaTheme="minorEastAsia" w:cstheme="minorEastAsia"/>
                <w:szCs w:val="21"/>
                <w:lang w:val="en-US" w:eastAsia="zh-CN"/>
              </w:rPr>
              <w:t>挂网价（元）</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268F8D2A">
            <w:pPr>
              <w:adjustRightInd w:val="0"/>
              <w:jc w:val="center"/>
              <w:rPr>
                <w:rFonts w:hint="default"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szCs w:val="21"/>
                <w:lang w:val="en-US" w:eastAsia="zh-CN"/>
              </w:rPr>
              <w:t>专用/通用</w:t>
            </w:r>
          </w:p>
        </w:tc>
        <w:tc>
          <w:tcPr>
            <w:tcW w:w="846" w:type="dxa"/>
            <w:tcBorders>
              <w:top w:val="single" w:color="auto" w:sz="4" w:space="0"/>
              <w:left w:val="single" w:color="auto" w:sz="4" w:space="0"/>
              <w:bottom w:val="single" w:color="auto" w:sz="4" w:space="0"/>
              <w:right w:val="single" w:color="auto" w:sz="4" w:space="0"/>
            </w:tcBorders>
            <w:noWrap w:val="0"/>
            <w:vAlign w:val="center"/>
          </w:tcPr>
          <w:p w14:paraId="1B38A06B">
            <w:pPr>
              <w:adjustRightInd w:val="0"/>
              <w:jc w:val="center"/>
              <w:rPr>
                <w:rFonts w:hint="default"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生产厂家</w:t>
            </w:r>
          </w:p>
        </w:tc>
        <w:tc>
          <w:tcPr>
            <w:tcW w:w="1241" w:type="dxa"/>
            <w:tcBorders>
              <w:top w:val="single" w:color="auto" w:sz="4" w:space="0"/>
              <w:left w:val="single" w:color="auto" w:sz="4" w:space="0"/>
              <w:bottom w:val="single" w:color="auto" w:sz="4" w:space="0"/>
              <w:right w:val="single" w:color="auto" w:sz="4" w:space="0"/>
            </w:tcBorders>
            <w:noWrap w:val="0"/>
            <w:vAlign w:val="center"/>
          </w:tcPr>
          <w:p w14:paraId="6A5D7E31">
            <w:pPr>
              <w:adjustRightInd w:val="0"/>
              <w:jc w:val="center"/>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备注</w:t>
            </w:r>
          </w:p>
        </w:tc>
      </w:tr>
      <w:tr w14:paraId="013C25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6" w:hRule="atLeast"/>
        </w:trPr>
        <w:tc>
          <w:tcPr>
            <w:tcW w:w="647" w:type="dxa"/>
            <w:tcBorders>
              <w:top w:val="single" w:color="auto" w:sz="4" w:space="0"/>
              <w:left w:val="single" w:color="auto" w:sz="4" w:space="0"/>
              <w:bottom w:val="single" w:color="auto" w:sz="4" w:space="0"/>
              <w:right w:val="single" w:color="auto" w:sz="4" w:space="0"/>
            </w:tcBorders>
            <w:noWrap w:val="0"/>
            <w:vAlign w:val="center"/>
          </w:tcPr>
          <w:p w14:paraId="028F9459">
            <w:pPr>
              <w:adjustRightInd w:val="0"/>
              <w:jc w:val="center"/>
              <w:rPr>
                <w:rFonts w:hint="default"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1</w:t>
            </w:r>
          </w:p>
        </w:tc>
        <w:tc>
          <w:tcPr>
            <w:tcW w:w="1199" w:type="dxa"/>
            <w:tcBorders>
              <w:top w:val="single" w:color="auto" w:sz="4" w:space="0"/>
              <w:left w:val="single" w:color="auto" w:sz="4" w:space="0"/>
              <w:bottom w:val="single" w:color="auto" w:sz="4" w:space="0"/>
              <w:right w:val="single" w:color="auto" w:sz="4" w:space="0"/>
            </w:tcBorders>
            <w:noWrap w:val="0"/>
            <w:vAlign w:val="center"/>
          </w:tcPr>
          <w:p w14:paraId="320A74B0">
            <w:pPr>
              <w:keepNext w:val="0"/>
              <w:keepLines w:val="0"/>
              <w:pageBreakBefore w:val="0"/>
              <w:widowControl/>
              <w:wordWrap/>
              <w:overflowPunct/>
              <w:topLinePunct w:val="0"/>
              <w:bidi w:val="0"/>
              <w:spacing w:line="380" w:lineRule="exact"/>
              <w:jc w:val="center"/>
              <w:textAlignment w:val="center"/>
              <w:rPr>
                <w:rFonts w:hint="eastAsia" w:asciiTheme="minorEastAsia" w:hAnsiTheme="minorEastAsia" w:eastAsiaTheme="minorEastAsia" w:cstheme="minorEastAsia"/>
                <w:color w:val="000000"/>
                <w:kern w:val="0"/>
                <w:sz w:val="21"/>
                <w:szCs w:val="21"/>
                <w:lang w:val="zh-CN" w:eastAsia="zh-CN" w:bidi="ar"/>
              </w:rPr>
            </w:pPr>
          </w:p>
        </w:tc>
        <w:tc>
          <w:tcPr>
            <w:tcW w:w="1149" w:type="dxa"/>
            <w:tcBorders>
              <w:top w:val="single" w:color="auto" w:sz="4" w:space="0"/>
              <w:left w:val="single" w:color="auto" w:sz="4" w:space="0"/>
              <w:bottom w:val="single" w:color="auto" w:sz="4" w:space="0"/>
              <w:right w:val="single" w:color="auto" w:sz="4" w:space="0"/>
            </w:tcBorders>
            <w:noWrap w:val="0"/>
            <w:vAlign w:val="center"/>
          </w:tcPr>
          <w:p w14:paraId="076CE61D">
            <w:pPr>
              <w:keepNext w:val="0"/>
              <w:keepLines w:val="0"/>
              <w:pageBreakBefore w:val="0"/>
              <w:widowControl/>
              <w:wordWrap/>
              <w:overflowPunct/>
              <w:topLinePunct w:val="0"/>
              <w:bidi w:val="0"/>
              <w:spacing w:line="380" w:lineRule="exact"/>
              <w:jc w:val="center"/>
              <w:textAlignment w:val="center"/>
              <w:rPr>
                <w:rFonts w:hint="eastAsia" w:asciiTheme="minorEastAsia" w:hAnsiTheme="minorEastAsia" w:eastAsiaTheme="minorEastAsia" w:cstheme="minorEastAsia"/>
                <w:color w:val="000000"/>
                <w:kern w:val="0"/>
                <w:sz w:val="21"/>
                <w:szCs w:val="21"/>
                <w:lang w:val="zh-CN" w:eastAsia="zh-CN" w:bidi="ar"/>
              </w:rPr>
            </w:pPr>
          </w:p>
        </w:tc>
        <w:tc>
          <w:tcPr>
            <w:tcW w:w="803" w:type="dxa"/>
            <w:tcBorders>
              <w:top w:val="single" w:color="auto" w:sz="4" w:space="0"/>
              <w:left w:val="single" w:color="auto" w:sz="4" w:space="0"/>
              <w:bottom w:val="single" w:color="auto" w:sz="4" w:space="0"/>
              <w:right w:val="single" w:color="auto" w:sz="4" w:space="0"/>
            </w:tcBorders>
            <w:noWrap w:val="0"/>
            <w:vAlign w:val="center"/>
          </w:tcPr>
          <w:p w14:paraId="4AAC1A78">
            <w:pPr>
              <w:keepNext w:val="0"/>
              <w:keepLines w:val="0"/>
              <w:pageBreakBefore w:val="0"/>
              <w:widowControl/>
              <w:wordWrap/>
              <w:overflowPunct/>
              <w:topLinePunct w:val="0"/>
              <w:bidi w:val="0"/>
              <w:spacing w:line="380" w:lineRule="exact"/>
              <w:jc w:val="center"/>
              <w:textAlignment w:val="center"/>
              <w:rPr>
                <w:rFonts w:hint="eastAsia" w:asciiTheme="minorEastAsia" w:hAnsiTheme="minorEastAsia" w:eastAsiaTheme="minorEastAsia" w:cstheme="minorEastAsia"/>
                <w:color w:val="000000"/>
                <w:kern w:val="0"/>
                <w:sz w:val="21"/>
                <w:szCs w:val="21"/>
                <w:lang w:val="zh-CN" w:eastAsia="zh-CN" w:bidi="ar"/>
              </w:rPr>
            </w:pPr>
          </w:p>
        </w:tc>
        <w:tc>
          <w:tcPr>
            <w:tcW w:w="874" w:type="dxa"/>
            <w:tcBorders>
              <w:top w:val="single" w:color="auto" w:sz="4" w:space="0"/>
              <w:left w:val="single" w:color="auto" w:sz="4" w:space="0"/>
              <w:bottom w:val="single" w:color="auto" w:sz="4" w:space="0"/>
              <w:right w:val="single" w:color="auto" w:sz="4" w:space="0"/>
            </w:tcBorders>
            <w:noWrap w:val="0"/>
            <w:vAlign w:val="center"/>
          </w:tcPr>
          <w:p w14:paraId="7DB332D5">
            <w:pPr>
              <w:adjustRightInd w:val="0"/>
              <w:jc w:val="center"/>
              <w:rPr>
                <w:rFonts w:hint="eastAsia" w:asciiTheme="minorEastAsia" w:hAnsiTheme="minorEastAsia" w:eastAsiaTheme="minorEastAsia" w:cstheme="minorEastAsia"/>
                <w:szCs w:val="21"/>
                <w:lang w:val="zh-CN"/>
              </w:rPr>
            </w:pPr>
          </w:p>
        </w:tc>
        <w:tc>
          <w:tcPr>
            <w:tcW w:w="1051" w:type="dxa"/>
            <w:tcBorders>
              <w:top w:val="single" w:color="auto" w:sz="4" w:space="0"/>
              <w:left w:val="single" w:color="auto" w:sz="4" w:space="0"/>
              <w:bottom w:val="single" w:color="auto" w:sz="4" w:space="0"/>
              <w:right w:val="single" w:color="auto" w:sz="4" w:space="0"/>
            </w:tcBorders>
            <w:noWrap w:val="0"/>
            <w:vAlign w:val="center"/>
          </w:tcPr>
          <w:p w14:paraId="3A333FF7">
            <w:pPr>
              <w:adjustRightInd w:val="0"/>
              <w:jc w:val="center"/>
              <w:rPr>
                <w:rFonts w:hint="eastAsia" w:asciiTheme="minorEastAsia" w:hAnsiTheme="minorEastAsia" w:eastAsiaTheme="minorEastAsia" w:cstheme="minorEastAsia"/>
                <w:szCs w:val="21"/>
                <w:lang w:val="zh-CN"/>
              </w:rPr>
            </w:pPr>
          </w:p>
        </w:tc>
        <w:tc>
          <w:tcPr>
            <w:tcW w:w="846" w:type="dxa"/>
            <w:tcBorders>
              <w:top w:val="single" w:color="auto" w:sz="4" w:space="0"/>
              <w:left w:val="single" w:color="auto" w:sz="4" w:space="0"/>
              <w:bottom w:val="single" w:color="auto" w:sz="4" w:space="0"/>
              <w:right w:val="single" w:color="auto" w:sz="4" w:space="0"/>
            </w:tcBorders>
            <w:noWrap w:val="0"/>
            <w:vAlign w:val="center"/>
          </w:tcPr>
          <w:p w14:paraId="7184B9B9">
            <w:pPr>
              <w:keepNext w:val="0"/>
              <w:keepLines w:val="0"/>
              <w:pageBreakBefore w:val="0"/>
              <w:widowControl/>
              <w:wordWrap/>
              <w:overflowPunct/>
              <w:topLinePunct w:val="0"/>
              <w:bidi w:val="0"/>
              <w:spacing w:line="380" w:lineRule="exact"/>
              <w:jc w:val="center"/>
              <w:textAlignment w:val="center"/>
              <w:rPr>
                <w:rFonts w:hint="eastAsia" w:asciiTheme="minorEastAsia" w:hAnsiTheme="minorEastAsia" w:eastAsiaTheme="minorEastAsia" w:cstheme="minorEastAsia"/>
                <w:szCs w:val="21"/>
                <w:lang w:val="zh-CN"/>
              </w:rPr>
            </w:pPr>
          </w:p>
        </w:tc>
        <w:tc>
          <w:tcPr>
            <w:tcW w:w="846" w:type="dxa"/>
            <w:tcBorders>
              <w:top w:val="single" w:color="auto" w:sz="4" w:space="0"/>
              <w:left w:val="single" w:color="auto" w:sz="4" w:space="0"/>
              <w:bottom w:val="single" w:color="auto" w:sz="4" w:space="0"/>
              <w:right w:val="single" w:color="auto" w:sz="4" w:space="0"/>
            </w:tcBorders>
            <w:noWrap w:val="0"/>
            <w:vAlign w:val="center"/>
          </w:tcPr>
          <w:p w14:paraId="722072BF">
            <w:pPr>
              <w:keepNext w:val="0"/>
              <w:keepLines w:val="0"/>
              <w:pageBreakBefore w:val="0"/>
              <w:widowControl/>
              <w:wordWrap/>
              <w:overflowPunct/>
              <w:topLinePunct w:val="0"/>
              <w:bidi w:val="0"/>
              <w:spacing w:line="380" w:lineRule="exact"/>
              <w:jc w:val="center"/>
              <w:textAlignment w:val="center"/>
              <w:rPr>
                <w:rFonts w:hint="eastAsia" w:asciiTheme="minorEastAsia" w:hAnsiTheme="minorEastAsia" w:eastAsiaTheme="minorEastAsia" w:cstheme="minorEastAsia"/>
                <w:color w:val="000000"/>
                <w:kern w:val="0"/>
                <w:sz w:val="21"/>
                <w:szCs w:val="21"/>
                <w:lang w:val="zh-CN" w:eastAsia="zh-CN" w:bidi="ar"/>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0DAB7019">
            <w:pPr>
              <w:keepNext w:val="0"/>
              <w:keepLines w:val="0"/>
              <w:pageBreakBefore w:val="0"/>
              <w:widowControl/>
              <w:wordWrap/>
              <w:overflowPunct/>
              <w:topLinePunct w:val="0"/>
              <w:bidi w:val="0"/>
              <w:spacing w:line="380" w:lineRule="exact"/>
              <w:jc w:val="center"/>
              <w:textAlignment w:val="center"/>
              <w:rPr>
                <w:rFonts w:hint="eastAsia" w:asciiTheme="minorEastAsia" w:hAnsiTheme="minorEastAsia" w:eastAsiaTheme="minorEastAsia" w:cstheme="minorEastAsia"/>
                <w:color w:val="000000"/>
                <w:kern w:val="0"/>
                <w:sz w:val="21"/>
                <w:szCs w:val="21"/>
                <w:lang w:val="zh-CN" w:eastAsia="zh-CN" w:bidi="ar"/>
              </w:rPr>
            </w:pPr>
          </w:p>
        </w:tc>
        <w:tc>
          <w:tcPr>
            <w:tcW w:w="846" w:type="dxa"/>
            <w:tcBorders>
              <w:top w:val="single" w:color="auto" w:sz="4" w:space="0"/>
              <w:left w:val="single" w:color="auto" w:sz="4" w:space="0"/>
              <w:bottom w:val="single" w:color="auto" w:sz="4" w:space="0"/>
              <w:right w:val="single" w:color="auto" w:sz="4" w:space="0"/>
            </w:tcBorders>
            <w:noWrap w:val="0"/>
            <w:vAlign w:val="center"/>
          </w:tcPr>
          <w:p w14:paraId="2A5D771D">
            <w:pPr>
              <w:adjustRightInd w:val="0"/>
              <w:jc w:val="center"/>
              <w:rPr>
                <w:rFonts w:hint="eastAsia" w:asciiTheme="minorEastAsia" w:hAnsiTheme="minorEastAsia" w:eastAsiaTheme="minorEastAsia" w:cstheme="minorEastAsia"/>
                <w:szCs w:val="21"/>
                <w:lang w:val="zh-CN"/>
              </w:rPr>
            </w:pPr>
          </w:p>
        </w:tc>
        <w:tc>
          <w:tcPr>
            <w:tcW w:w="1241" w:type="dxa"/>
            <w:tcBorders>
              <w:top w:val="single" w:color="auto" w:sz="4" w:space="0"/>
              <w:left w:val="single" w:color="auto" w:sz="4" w:space="0"/>
              <w:bottom w:val="single" w:color="auto" w:sz="4" w:space="0"/>
              <w:right w:val="single" w:color="auto" w:sz="4" w:space="0"/>
            </w:tcBorders>
            <w:noWrap w:val="0"/>
            <w:vAlign w:val="center"/>
          </w:tcPr>
          <w:p w14:paraId="2370E932">
            <w:pPr>
              <w:adjustRightInd w:val="0"/>
              <w:jc w:val="center"/>
              <w:rPr>
                <w:rFonts w:hint="eastAsia" w:asciiTheme="minorEastAsia" w:hAnsiTheme="minorEastAsia" w:eastAsiaTheme="minorEastAsia" w:cstheme="minorEastAsia"/>
                <w:szCs w:val="21"/>
                <w:lang w:val="zh-CN"/>
              </w:rPr>
            </w:pPr>
            <w:r>
              <w:rPr>
                <w:rFonts w:hint="eastAsia"/>
                <w:sz w:val="20"/>
                <w:szCs w:val="22"/>
              </w:rPr>
              <w:t>耗材报价作为参考价，须在广东省药品</w:t>
            </w:r>
            <w:r>
              <w:rPr>
                <w:rFonts w:hint="eastAsia"/>
                <w:sz w:val="20"/>
                <w:szCs w:val="22"/>
                <w:lang w:val="en-US" w:eastAsia="zh-CN"/>
              </w:rPr>
              <w:t>和医用耗材招采管理系统</w:t>
            </w:r>
            <w:r>
              <w:rPr>
                <w:rFonts w:hint="eastAsia"/>
                <w:sz w:val="20"/>
                <w:szCs w:val="22"/>
              </w:rPr>
              <w:t>交</w:t>
            </w:r>
            <w:r>
              <w:rPr>
                <w:rFonts w:hint="eastAsia"/>
                <w:color w:val="auto"/>
                <w:sz w:val="20"/>
                <w:szCs w:val="22"/>
              </w:rPr>
              <w:t>易采购，实际采购价格不得高于此报价。</w:t>
            </w:r>
          </w:p>
        </w:tc>
      </w:tr>
    </w:tbl>
    <w:p w14:paraId="550E408F">
      <w:pPr>
        <w:numPr>
          <w:ilvl w:val="0"/>
          <w:numId w:val="0"/>
        </w:numPr>
        <w:rPr>
          <w:rFonts w:hint="eastAsia"/>
          <w:lang w:val="en-US" w:eastAsia="zh-CN"/>
        </w:rPr>
      </w:pPr>
    </w:p>
    <w:p w14:paraId="01E065E8">
      <w:pPr>
        <w:rPr>
          <w:rFonts w:hint="eastAsia" w:asciiTheme="minorEastAsia" w:hAnsiTheme="minorEastAsia" w:eastAsiaTheme="minorEastAsia" w:cstheme="minorEastAsia"/>
          <w:b/>
          <w:szCs w:val="21"/>
        </w:rPr>
      </w:pPr>
    </w:p>
    <w:p w14:paraId="2CBFE349">
      <w:pPr>
        <w:rPr>
          <w:rFonts w:hint="eastAsia" w:asciiTheme="minorEastAsia" w:hAnsiTheme="minorEastAsia" w:eastAsiaTheme="minorEastAsia" w:cstheme="minorEastAsia"/>
          <w:b w:val="0"/>
          <w:bCs/>
          <w:szCs w:val="21"/>
        </w:rPr>
      </w:pPr>
      <w:r>
        <w:rPr>
          <w:rFonts w:hint="eastAsia" w:asciiTheme="minorEastAsia" w:hAnsiTheme="minorEastAsia" w:eastAsiaTheme="minorEastAsia" w:cstheme="minorEastAsia"/>
          <w:b w:val="0"/>
          <w:bCs/>
          <w:szCs w:val="21"/>
        </w:rPr>
        <w:t>注：1. 请根据“</w:t>
      </w:r>
      <w:r>
        <w:rPr>
          <w:rFonts w:hint="eastAsia" w:asciiTheme="minorEastAsia" w:hAnsiTheme="minorEastAsia" w:eastAsiaTheme="minorEastAsia" w:cstheme="minorEastAsia"/>
          <w:b w:val="0"/>
          <w:bCs/>
          <w:szCs w:val="21"/>
          <w:lang w:val="en-US" w:eastAsia="zh-CN"/>
        </w:rPr>
        <w:t>公告内容</w:t>
      </w:r>
      <w:r>
        <w:rPr>
          <w:rFonts w:hint="eastAsia" w:asciiTheme="minorEastAsia" w:hAnsiTheme="minorEastAsia" w:eastAsiaTheme="minorEastAsia" w:cstheme="minorEastAsia"/>
          <w:b w:val="0"/>
          <w:bCs/>
          <w:szCs w:val="21"/>
        </w:rPr>
        <w:t>”填写。</w:t>
      </w:r>
    </w:p>
    <w:p w14:paraId="578B8184">
      <w:pPr>
        <w:rPr>
          <w:rFonts w:hint="eastAsia" w:asciiTheme="minorEastAsia" w:hAnsiTheme="minorEastAsia" w:eastAsiaTheme="minorEastAsia" w:cstheme="minorEastAsia"/>
          <w:b w:val="0"/>
          <w:bCs/>
          <w:szCs w:val="21"/>
        </w:rPr>
      </w:pPr>
      <w:r>
        <w:rPr>
          <w:rFonts w:hint="eastAsia" w:asciiTheme="minorEastAsia" w:hAnsiTheme="minorEastAsia" w:eastAsiaTheme="minorEastAsia" w:cstheme="minorEastAsia"/>
          <w:b w:val="0"/>
          <w:bCs/>
          <w:szCs w:val="21"/>
        </w:rPr>
        <w:t xml:space="preserve">    2. 所有价格应按“招标文件”中规定的货币单位填写；投标总价应为以上各分项价格之和；投标总价和项目报价表中单个采购预算条目报价均不得超过对应的财政预算限额、最高限价，否则将导致无效投标。</w:t>
      </w:r>
    </w:p>
    <w:p w14:paraId="309732AB">
      <w:pPr>
        <w:ind w:firstLine="420" w:firstLineChars="200"/>
        <w:rPr>
          <w:rFonts w:hint="eastAsia" w:asciiTheme="minorEastAsia" w:hAnsiTheme="minorEastAsia" w:eastAsiaTheme="minorEastAsia" w:cstheme="minorEastAsia"/>
          <w:b w:val="0"/>
          <w:bCs/>
          <w:szCs w:val="21"/>
        </w:rPr>
      </w:pPr>
      <w:r>
        <w:rPr>
          <w:rFonts w:hint="eastAsia" w:asciiTheme="minorEastAsia" w:hAnsiTheme="minorEastAsia" w:eastAsiaTheme="minorEastAsia" w:cstheme="minorEastAsia"/>
          <w:b w:val="0"/>
          <w:bCs/>
          <w:szCs w:val="21"/>
        </w:rPr>
        <w:t>3. 单价、合价和投标总价为包干价，即三者均应包含产品的价款、包装、运输、装卸、安装、调试、技术指导、培训、咨询、服务、保险、税费、检测、验收合格交付使用之前以及技术和售后服务等其他各项有关费用。</w:t>
      </w:r>
    </w:p>
    <w:p w14:paraId="0EFB28FA">
      <w:pPr>
        <w:ind w:firstLine="411" w:firstLineChars="196"/>
        <w:rPr>
          <w:rFonts w:hint="eastAsia" w:asciiTheme="minorEastAsia" w:hAnsiTheme="minorEastAsia" w:eastAsiaTheme="minorEastAsia" w:cstheme="minorEastAsia"/>
          <w:b w:val="0"/>
          <w:bCs/>
          <w:szCs w:val="21"/>
        </w:rPr>
      </w:pPr>
      <w:r>
        <w:rPr>
          <w:rFonts w:hint="eastAsia" w:asciiTheme="minorEastAsia" w:hAnsiTheme="minorEastAsia" w:eastAsiaTheme="minorEastAsia" w:cstheme="minorEastAsia"/>
          <w:b w:val="0"/>
          <w:bCs/>
          <w:szCs w:val="21"/>
          <w:lang w:val="en-US" w:eastAsia="zh-CN"/>
        </w:rPr>
        <w:t>4</w:t>
      </w:r>
      <w:r>
        <w:rPr>
          <w:rFonts w:hint="eastAsia" w:asciiTheme="minorEastAsia" w:hAnsiTheme="minorEastAsia" w:eastAsiaTheme="minorEastAsia" w:cstheme="minorEastAsia"/>
          <w:b w:val="0"/>
          <w:bCs/>
          <w:szCs w:val="21"/>
        </w:rPr>
        <w:t>.“原产地”是指该产品的实际生产加工地，而非品牌总公司所在地。</w:t>
      </w:r>
    </w:p>
    <w:p w14:paraId="3742F657">
      <w:pPr>
        <w:ind w:firstLine="420" w:firstLineChars="200"/>
        <w:rPr>
          <w:rFonts w:hint="eastAsia" w:asciiTheme="minorEastAsia" w:hAnsiTheme="minorEastAsia" w:eastAsiaTheme="minorEastAsia" w:cstheme="minorEastAsia"/>
          <w:b w:val="0"/>
          <w:bCs/>
          <w:szCs w:val="21"/>
          <w:lang w:val="zh-CN"/>
        </w:rPr>
      </w:pPr>
      <w:r>
        <w:rPr>
          <w:rFonts w:hint="eastAsia" w:asciiTheme="minorEastAsia" w:hAnsiTheme="minorEastAsia" w:eastAsiaTheme="minorEastAsia" w:cstheme="minorEastAsia"/>
          <w:b w:val="0"/>
          <w:bCs/>
          <w:szCs w:val="21"/>
          <w:lang w:val="en-US" w:eastAsia="zh-CN"/>
        </w:rPr>
        <w:t>5</w:t>
      </w:r>
      <w:r>
        <w:rPr>
          <w:rFonts w:hint="eastAsia" w:asciiTheme="minorEastAsia" w:hAnsiTheme="minorEastAsia" w:eastAsiaTheme="minorEastAsia" w:cstheme="minorEastAsia"/>
          <w:b w:val="0"/>
          <w:bCs/>
          <w:szCs w:val="21"/>
        </w:rPr>
        <w:t>.详细填写所投货物的制造商名称；若如所投产品属于定制类的非量产货物或无具体型号的货物，可以不填写型号等信息，但应当标注投标产品为定制产品。</w:t>
      </w:r>
    </w:p>
    <w:p w14:paraId="32F90EDC">
      <w:pPr>
        <w:spacing w:line="300" w:lineRule="auto"/>
        <w:rPr>
          <w:rFonts w:hint="eastAsia" w:asciiTheme="minorEastAsia" w:hAnsiTheme="minorEastAsia" w:eastAsiaTheme="minorEastAsia" w:cstheme="minorEastAsia"/>
          <w:b/>
          <w:bCs/>
          <w:u w:val="single"/>
        </w:rPr>
      </w:pPr>
    </w:p>
    <w:p w14:paraId="3B4107EC">
      <w:pPr>
        <w:wordWrap w:val="0"/>
        <w:spacing w:line="360" w:lineRule="auto"/>
        <w:ind w:firstLine="5040" w:firstLineChars="2400"/>
        <w:jc w:val="right"/>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rPr>
        <w:t>投标人（公章）：</w:t>
      </w:r>
      <w:r>
        <w:rPr>
          <w:rFonts w:hint="eastAsia" w:asciiTheme="minorEastAsia" w:hAnsiTheme="minorEastAsia" w:eastAsiaTheme="minorEastAsia" w:cstheme="minorEastAsia"/>
          <w:szCs w:val="21"/>
          <w:lang w:val="en-US" w:eastAsia="zh-CN"/>
        </w:rPr>
        <w:t xml:space="preserve">                 </w:t>
      </w:r>
    </w:p>
    <w:p w14:paraId="29A5E5CD">
      <w:pPr>
        <w:wordWrap w:val="0"/>
        <w:spacing w:line="360" w:lineRule="auto"/>
        <w:ind w:firstLine="5040" w:firstLineChars="2400"/>
        <w:jc w:val="right"/>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rPr>
        <w:t>法定代表人或其授权代表签名：</w:t>
      </w:r>
      <w:r>
        <w:rPr>
          <w:rFonts w:hint="eastAsia" w:asciiTheme="minorEastAsia" w:hAnsiTheme="minorEastAsia" w:eastAsiaTheme="minorEastAsia" w:cstheme="minorEastAsia"/>
          <w:szCs w:val="21"/>
          <w:lang w:val="en-US" w:eastAsia="zh-CN"/>
        </w:rPr>
        <w:t xml:space="preserve">     </w:t>
      </w:r>
    </w:p>
    <w:p w14:paraId="3FAF6BFA">
      <w:pPr>
        <w:wordWrap w:val="0"/>
        <w:jc w:val="right"/>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Cs w:val="21"/>
        </w:rPr>
        <w:t>日期：      年    月    日</w:t>
      </w:r>
      <w:r>
        <w:rPr>
          <w:rFonts w:hint="eastAsia" w:asciiTheme="minorEastAsia" w:hAnsiTheme="minorEastAsia" w:eastAsiaTheme="minorEastAsia" w:cstheme="minorEastAsia"/>
          <w:szCs w:val="21"/>
          <w:lang w:val="en-US" w:eastAsia="zh-CN"/>
        </w:rPr>
        <w:t xml:space="preserve">       </w:t>
      </w:r>
    </w:p>
    <w:p w14:paraId="7BBF3D65">
      <w:pPr>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br w:type="page"/>
      </w:r>
    </w:p>
    <w:p w14:paraId="55AC40C4">
      <w:pPr>
        <w:spacing w:line="360" w:lineRule="auto"/>
        <w:ind w:right="-517" w:rightChars="-246"/>
        <w:jc w:val="center"/>
        <w:rPr>
          <w:rFonts w:asciiTheme="minorEastAsia" w:hAnsiTheme="minorEastAsia" w:eastAsiaTheme="minorEastAsia"/>
          <w:b/>
          <w:snapToGrid w:val="0"/>
          <w:kern w:val="0"/>
          <w:sz w:val="24"/>
          <w:szCs w:val="24"/>
        </w:rPr>
      </w:pPr>
      <w:r>
        <w:rPr>
          <w:rFonts w:hint="eastAsia" w:asciiTheme="minorEastAsia" w:hAnsiTheme="minorEastAsia" w:eastAsiaTheme="minorEastAsia"/>
          <w:b/>
          <w:sz w:val="24"/>
          <w:szCs w:val="24"/>
        </w:rPr>
        <w:t>二、法定代表人授权委托书</w:t>
      </w:r>
    </w:p>
    <w:p w14:paraId="496C863F">
      <w:pPr>
        <w:pStyle w:val="9"/>
        <w:spacing w:line="400" w:lineRule="exact"/>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本授权书声明：</w:t>
      </w:r>
    </w:p>
    <w:p w14:paraId="77A4F05F">
      <w:pPr>
        <w:spacing w:line="360" w:lineRule="auto"/>
        <w:ind w:firstLine="480" w:firstLineChars="200"/>
        <w:rPr>
          <w:rFonts w:asciiTheme="minorEastAsia" w:hAnsiTheme="minorEastAsia" w:eastAsiaTheme="minorEastAsia"/>
          <w:bCs/>
          <w:sz w:val="24"/>
          <w:szCs w:val="24"/>
        </w:rPr>
      </w:pPr>
      <w:r>
        <w:rPr>
          <w:rFonts w:hint="eastAsia" w:asciiTheme="minorEastAsia" w:hAnsiTheme="minorEastAsia" w:eastAsiaTheme="minorEastAsia"/>
          <w:bCs/>
          <w:sz w:val="24"/>
          <w:szCs w:val="24"/>
        </w:rPr>
        <w:t>注册于</w:t>
      </w:r>
      <w:r>
        <w:rPr>
          <w:rFonts w:hint="eastAsia" w:asciiTheme="minorEastAsia" w:hAnsiTheme="minorEastAsia" w:eastAsiaTheme="minorEastAsia"/>
          <w:bCs/>
          <w:sz w:val="24"/>
          <w:szCs w:val="24"/>
          <w:u w:val="single"/>
        </w:rPr>
        <w:t xml:space="preserve">                      </w:t>
      </w:r>
      <w:r>
        <w:rPr>
          <w:rFonts w:hint="eastAsia" w:asciiTheme="minorEastAsia" w:hAnsiTheme="minorEastAsia" w:eastAsiaTheme="minorEastAsia"/>
          <w:bCs/>
          <w:sz w:val="24"/>
          <w:szCs w:val="24"/>
        </w:rPr>
        <w:t>（公司地址）</w:t>
      </w:r>
      <w:r>
        <w:rPr>
          <w:rFonts w:hint="eastAsia" w:asciiTheme="minorEastAsia" w:hAnsiTheme="minorEastAsia" w:eastAsiaTheme="minorEastAsia"/>
          <w:bCs/>
          <w:sz w:val="24"/>
          <w:szCs w:val="24"/>
          <w:u w:val="single"/>
        </w:rPr>
        <w:t xml:space="preserve">                    </w:t>
      </w:r>
      <w:r>
        <w:rPr>
          <w:rFonts w:hint="eastAsia" w:asciiTheme="minorEastAsia" w:hAnsiTheme="minorEastAsia" w:eastAsiaTheme="minorEastAsia"/>
          <w:bCs/>
          <w:sz w:val="24"/>
          <w:szCs w:val="24"/>
        </w:rPr>
        <w:t>（公司名称）</w:t>
      </w:r>
      <w:r>
        <w:rPr>
          <w:rFonts w:hint="eastAsia" w:asciiTheme="minorEastAsia" w:hAnsiTheme="minorEastAsia" w:eastAsiaTheme="minorEastAsia"/>
          <w:bCs/>
          <w:sz w:val="24"/>
          <w:szCs w:val="24"/>
          <w:u w:val="single"/>
        </w:rPr>
        <w:t xml:space="preserve">                        </w:t>
      </w:r>
      <w:r>
        <w:rPr>
          <w:rFonts w:hint="eastAsia" w:asciiTheme="minorEastAsia" w:hAnsiTheme="minorEastAsia" w:eastAsiaTheme="minorEastAsia"/>
          <w:bCs/>
          <w:sz w:val="24"/>
          <w:szCs w:val="24"/>
          <w:u w:val="single"/>
          <w:lang w:val="en-US" w:eastAsia="zh-CN"/>
        </w:rPr>
        <w:t xml:space="preserve">        </w:t>
      </w:r>
      <w:r>
        <w:rPr>
          <w:rFonts w:hint="eastAsia" w:asciiTheme="minorEastAsia" w:hAnsiTheme="minorEastAsia" w:eastAsiaTheme="minorEastAsia"/>
          <w:bCs/>
          <w:sz w:val="24"/>
          <w:szCs w:val="24"/>
          <w:u w:val="single"/>
        </w:rPr>
        <w:t xml:space="preserve"> </w:t>
      </w:r>
      <w:r>
        <w:rPr>
          <w:rFonts w:hint="eastAsia" w:asciiTheme="minorEastAsia" w:hAnsiTheme="minorEastAsia" w:eastAsiaTheme="minorEastAsia"/>
          <w:bCs/>
          <w:sz w:val="24"/>
          <w:szCs w:val="24"/>
        </w:rPr>
        <w:t>（法定代表人姓名、职务）代表本公司授权</w:t>
      </w:r>
      <w:r>
        <w:rPr>
          <w:rFonts w:hint="eastAsia" w:asciiTheme="minorEastAsia" w:hAnsiTheme="minorEastAsia" w:eastAsiaTheme="minorEastAsia"/>
          <w:bCs/>
          <w:sz w:val="24"/>
          <w:szCs w:val="24"/>
          <w:u w:val="single"/>
        </w:rPr>
        <w:t xml:space="preserve">                        </w:t>
      </w:r>
      <w:r>
        <w:rPr>
          <w:rFonts w:hint="eastAsia" w:asciiTheme="minorEastAsia" w:hAnsiTheme="minorEastAsia" w:eastAsiaTheme="minorEastAsia"/>
          <w:bCs/>
          <w:sz w:val="24"/>
          <w:szCs w:val="24"/>
        </w:rPr>
        <w:t>（被授权人的姓名、职务）为本公司的合法代理人，以本公司名义负责处理在</w:t>
      </w:r>
      <w:r>
        <w:rPr>
          <w:rFonts w:hint="eastAsia" w:asciiTheme="minorEastAsia" w:hAnsiTheme="minorEastAsia" w:eastAsiaTheme="minorEastAsia"/>
          <w:bCs/>
          <w:sz w:val="24"/>
          <w:szCs w:val="24"/>
          <w:lang w:eastAsia="zh-CN"/>
        </w:rPr>
        <w:t>深圳市新华医院医疗设备</w:t>
      </w:r>
      <w:r>
        <w:rPr>
          <w:rFonts w:hint="eastAsia" w:asciiTheme="minorEastAsia" w:hAnsiTheme="minorEastAsia" w:eastAsiaTheme="minorEastAsia"/>
          <w:bCs/>
          <w:sz w:val="24"/>
          <w:szCs w:val="24"/>
        </w:rPr>
        <w:t>采购活动中相关谈判采购事务。</w:t>
      </w:r>
    </w:p>
    <w:p w14:paraId="4F13D0C8">
      <w:pPr>
        <w:spacing w:line="500" w:lineRule="exact"/>
        <w:ind w:firstLine="480" w:firstLineChars="200"/>
        <w:rPr>
          <w:rFonts w:asciiTheme="minorEastAsia" w:hAnsiTheme="minorEastAsia" w:eastAsiaTheme="minorEastAsia"/>
          <w:bCs/>
          <w:sz w:val="24"/>
          <w:szCs w:val="24"/>
        </w:rPr>
      </w:pPr>
      <w:r>
        <w:rPr>
          <w:rFonts w:hint="eastAsia" w:asciiTheme="minorEastAsia" w:hAnsiTheme="minorEastAsia" w:eastAsiaTheme="minorEastAsia"/>
          <w:bCs/>
          <w:sz w:val="24"/>
          <w:szCs w:val="24"/>
        </w:rPr>
        <w:t>本授权书于</w:t>
      </w:r>
      <w:r>
        <w:rPr>
          <w:rFonts w:hint="eastAsia" w:asciiTheme="minorEastAsia" w:hAnsiTheme="minorEastAsia" w:eastAsiaTheme="minorEastAsia"/>
          <w:bCs/>
          <w:sz w:val="24"/>
          <w:szCs w:val="24"/>
          <w:u w:val="single"/>
        </w:rPr>
        <w:t xml:space="preserve">      </w:t>
      </w:r>
      <w:r>
        <w:rPr>
          <w:rFonts w:hint="eastAsia" w:asciiTheme="minorEastAsia" w:hAnsiTheme="minorEastAsia" w:eastAsiaTheme="minorEastAsia"/>
          <w:bCs/>
          <w:sz w:val="24"/>
          <w:szCs w:val="24"/>
        </w:rPr>
        <w:t>年</w:t>
      </w:r>
      <w:r>
        <w:rPr>
          <w:rFonts w:hint="eastAsia" w:asciiTheme="minorEastAsia" w:hAnsiTheme="minorEastAsia" w:eastAsiaTheme="minorEastAsia"/>
          <w:bCs/>
          <w:sz w:val="24"/>
          <w:szCs w:val="24"/>
          <w:u w:val="single"/>
        </w:rPr>
        <w:t xml:space="preserve">   </w:t>
      </w:r>
      <w:r>
        <w:rPr>
          <w:rFonts w:hint="eastAsia" w:asciiTheme="minorEastAsia" w:hAnsiTheme="minorEastAsia" w:eastAsiaTheme="minorEastAsia"/>
          <w:bCs/>
          <w:sz w:val="24"/>
          <w:szCs w:val="24"/>
        </w:rPr>
        <w:t>月</w:t>
      </w:r>
      <w:r>
        <w:rPr>
          <w:rFonts w:hint="eastAsia" w:asciiTheme="minorEastAsia" w:hAnsiTheme="minorEastAsia" w:eastAsiaTheme="minorEastAsia"/>
          <w:bCs/>
          <w:sz w:val="24"/>
          <w:szCs w:val="24"/>
          <w:u w:val="single"/>
        </w:rPr>
        <w:t xml:space="preserve">   </w:t>
      </w:r>
      <w:r>
        <w:rPr>
          <w:rFonts w:hint="eastAsia" w:asciiTheme="minorEastAsia" w:hAnsiTheme="minorEastAsia" w:eastAsiaTheme="minorEastAsia"/>
          <w:bCs/>
          <w:sz w:val="24"/>
          <w:szCs w:val="24"/>
        </w:rPr>
        <w:t>日签字生效，特此声明。</w:t>
      </w:r>
    </w:p>
    <w:p w14:paraId="4F9F5B29">
      <w:pPr>
        <w:spacing w:line="500" w:lineRule="exact"/>
        <w:ind w:firstLine="480" w:firstLineChars="200"/>
        <w:jc w:val="left"/>
        <w:rPr>
          <w:rFonts w:asciiTheme="minorEastAsia" w:hAnsiTheme="minorEastAsia" w:eastAsiaTheme="minorEastAsia"/>
          <w:bCs/>
          <w:sz w:val="24"/>
          <w:szCs w:val="24"/>
        </w:rPr>
      </w:pPr>
    </w:p>
    <w:p w14:paraId="048A51D6">
      <w:pPr>
        <w:spacing w:line="360" w:lineRule="auto"/>
        <w:ind w:firstLine="480" w:firstLineChars="200"/>
        <w:rPr>
          <w:rFonts w:asciiTheme="minorEastAsia" w:hAnsiTheme="minorEastAsia" w:eastAsiaTheme="minorEastAsia"/>
          <w:bCs/>
          <w:sz w:val="24"/>
          <w:szCs w:val="24"/>
          <w:u w:val="single"/>
        </w:rPr>
      </w:pPr>
      <w:r>
        <w:rPr>
          <w:rFonts w:hint="eastAsia" w:asciiTheme="minorEastAsia" w:hAnsiTheme="minorEastAsia" w:eastAsiaTheme="minorEastAsia"/>
          <w:bCs/>
          <w:sz w:val="24"/>
          <w:szCs w:val="24"/>
        </w:rPr>
        <w:t>供应商法定代表人签字（盖章）</w:t>
      </w:r>
      <w:r>
        <w:rPr>
          <w:rFonts w:hint="eastAsia" w:asciiTheme="minorEastAsia" w:hAnsiTheme="minorEastAsia" w:eastAsiaTheme="minorEastAsia"/>
          <w:bCs/>
          <w:snapToGrid w:val="0"/>
          <w:kern w:val="0"/>
          <w:sz w:val="24"/>
          <w:szCs w:val="24"/>
        </w:rPr>
        <w:t>：</w:t>
      </w:r>
      <w:r>
        <w:rPr>
          <w:rFonts w:hint="eastAsia" w:asciiTheme="minorEastAsia" w:hAnsiTheme="minorEastAsia" w:eastAsiaTheme="minorEastAsia"/>
          <w:bCs/>
          <w:sz w:val="24"/>
          <w:szCs w:val="24"/>
          <w:u w:val="single"/>
        </w:rPr>
        <w:t xml:space="preserve">                                </w:t>
      </w:r>
    </w:p>
    <w:p w14:paraId="118A400B">
      <w:pPr>
        <w:spacing w:line="360" w:lineRule="auto"/>
        <w:ind w:firstLine="480" w:firstLineChars="200"/>
        <w:rPr>
          <w:rFonts w:asciiTheme="minorEastAsia" w:hAnsiTheme="minorEastAsia" w:eastAsiaTheme="minorEastAsia"/>
          <w:bCs/>
          <w:sz w:val="24"/>
          <w:szCs w:val="24"/>
        </w:rPr>
      </w:pPr>
      <w:r>
        <w:rPr>
          <w:rFonts w:hint="eastAsia" w:asciiTheme="minorEastAsia" w:hAnsiTheme="minorEastAsia" w:eastAsiaTheme="minorEastAsia"/>
          <w:bCs/>
          <w:sz w:val="24"/>
          <w:szCs w:val="24"/>
        </w:rPr>
        <w:t>被授权人签字（盖章）</w:t>
      </w:r>
      <w:r>
        <w:rPr>
          <w:rFonts w:hint="eastAsia" w:asciiTheme="minorEastAsia" w:hAnsiTheme="minorEastAsia" w:eastAsiaTheme="minorEastAsia"/>
          <w:bCs/>
          <w:snapToGrid w:val="0"/>
          <w:kern w:val="0"/>
          <w:sz w:val="24"/>
          <w:szCs w:val="24"/>
        </w:rPr>
        <w:t>：</w:t>
      </w:r>
      <w:r>
        <w:rPr>
          <w:rFonts w:hint="eastAsia" w:asciiTheme="minorEastAsia" w:hAnsiTheme="minorEastAsia" w:eastAsiaTheme="minorEastAsia"/>
          <w:bCs/>
          <w:sz w:val="24"/>
          <w:szCs w:val="24"/>
          <w:u w:val="single"/>
        </w:rPr>
        <w:t xml:space="preserve">                                        </w:t>
      </w:r>
    </w:p>
    <w:p w14:paraId="63473525">
      <w:pPr>
        <w:spacing w:line="360" w:lineRule="auto"/>
        <w:ind w:firstLine="480" w:firstLineChars="200"/>
        <w:rPr>
          <w:rFonts w:asciiTheme="minorEastAsia" w:hAnsiTheme="minorEastAsia" w:eastAsiaTheme="minorEastAsia"/>
          <w:bCs/>
          <w:sz w:val="24"/>
          <w:szCs w:val="24"/>
          <w:u w:val="single"/>
        </w:rPr>
      </w:pPr>
      <w:r>
        <w:rPr>
          <w:rFonts w:hint="eastAsia" w:asciiTheme="minorEastAsia" w:hAnsiTheme="minorEastAsia" w:eastAsiaTheme="minorEastAsia"/>
          <w:bCs/>
          <w:sz w:val="24"/>
          <w:szCs w:val="24"/>
        </w:rPr>
        <w:t>企业公章：</w:t>
      </w:r>
      <w:r>
        <w:rPr>
          <w:rFonts w:hint="eastAsia" w:asciiTheme="minorEastAsia" w:hAnsiTheme="minorEastAsia" w:eastAsiaTheme="minorEastAsia"/>
          <w:bCs/>
          <w:sz w:val="24"/>
          <w:szCs w:val="24"/>
          <w:u w:val="single"/>
        </w:rPr>
        <w:t xml:space="preserve">                                              </w:t>
      </w:r>
    </w:p>
    <w:p w14:paraId="69335D93">
      <w:pPr>
        <w:spacing w:line="500" w:lineRule="exact"/>
        <w:ind w:firstLine="555"/>
        <w:jc w:val="left"/>
        <w:rPr>
          <w:rFonts w:asciiTheme="minorEastAsia" w:hAnsiTheme="minorEastAsia" w:eastAsiaTheme="minorEastAsia"/>
          <w:bCs/>
          <w:sz w:val="24"/>
          <w:szCs w:val="24"/>
        </w:rPr>
      </w:pPr>
      <w:r>
        <w:rPr>
          <w:rFonts w:asciiTheme="minorEastAsia" w:hAnsiTheme="minorEastAsia" w:eastAsiaTheme="minorEastAsia"/>
          <w:sz w:val="24"/>
          <w:szCs w:val="24"/>
        </w:rPr>
        <mc:AlternateContent>
          <mc:Choice Requires="wps">
            <w:drawing>
              <wp:anchor distT="0" distB="0" distL="114300" distR="114300" simplePos="0" relativeHeight="251659264" behindDoc="0" locked="0" layoutInCell="1" allowOverlap="1">
                <wp:simplePos x="0" y="0"/>
                <wp:positionH relativeFrom="column">
                  <wp:posOffset>3133725</wp:posOffset>
                </wp:positionH>
                <wp:positionV relativeFrom="paragraph">
                  <wp:posOffset>81280</wp:posOffset>
                </wp:positionV>
                <wp:extent cx="2257425" cy="1722120"/>
                <wp:effectExtent l="8255" t="11430" r="10795" b="9525"/>
                <wp:wrapNone/>
                <wp:docPr id="4" name="Rectangle 2"/>
                <wp:cNvGraphicFramePr/>
                <a:graphic xmlns:a="http://schemas.openxmlformats.org/drawingml/2006/main">
                  <a:graphicData uri="http://schemas.microsoft.com/office/word/2010/wordprocessingShape">
                    <wps:wsp>
                      <wps:cNvSpPr>
                        <a:spLocks noChangeArrowheads="1"/>
                      </wps:cNvSpPr>
                      <wps:spPr bwMode="auto">
                        <a:xfrm>
                          <a:off x="0" y="0"/>
                          <a:ext cx="2257425" cy="1722120"/>
                        </a:xfrm>
                        <a:prstGeom prst="rect">
                          <a:avLst/>
                        </a:prstGeom>
                        <a:solidFill>
                          <a:srgbClr val="FFFFFF"/>
                        </a:solidFill>
                        <a:ln w="9525">
                          <a:solidFill>
                            <a:srgbClr val="000000"/>
                          </a:solidFill>
                          <a:miter lim="800000"/>
                        </a:ln>
                      </wps:spPr>
                      <wps:txbx>
                        <w:txbxContent>
                          <w:p w14:paraId="7DC149C1">
                            <w:pPr>
                              <w:rPr>
                                <w:rFonts w:eastAsia="黑体"/>
                                <w:b/>
                                <w:sz w:val="30"/>
                              </w:rPr>
                            </w:pPr>
                          </w:p>
                          <w:p w14:paraId="33AADE71">
                            <w:pPr>
                              <w:jc w:val="center"/>
                              <w:rPr>
                                <w:rFonts w:eastAsia="华文中宋"/>
                                <w:b/>
                                <w:sz w:val="28"/>
                              </w:rPr>
                            </w:pPr>
                            <w:r>
                              <w:rPr>
                                <w:rFonts w:hint="eastAsia" w:eastAsia="华文中宋"/>
                                <w:b/>
                                <w:sz w:val="28"/>
                              </w:rPr>
                              <w:t>法人代表</w:t>
                            </w:r>
                          </w:p>
                          <w:p w14:paraId="1D94004A">
                            <w:pPr>
                              <w:jc w:val="center"/>
                              <w:rPr>
                                <w:rFonts w:eastAsia="华文中宋"/>
                                <w:b/>
                                <w:sz w:val="28"/>
                              </w:rPr>
                            </w:pPr>
                            <w:r>
                              <w:rPr>
                                <w:rFonts w:hint="eastAsia" w:eastAsia="华文中宋"/>
                                <w:b/>
                                <w:sz w:val="28"/>
                              </w:rPr>
                              <w:t>居民身份证复印件粘贴处</w:t>
                            </w:r>
                          </w:p>
                          <w:p w14:paraId="699628E6">
                            <w:pPr>
                              <w:pStyle w:val="32"/>
                            </w:pPr>
                            <w:r>
                              <w:rPr>
                                <w:rFonts w:hint="eastAsia"/>
                              </w:rPr>
                              <w:t>（请加盖骑缝章）</w:t>
                            </w:r>
                          </w:p>
                          <w:p w14:paraId="45AD2A67">
                            <w:pPr>
                              <w:jc w:val="center"/>
                              <w:rPr>
                                <w:rFonts w:eastAsia="华文中宋"/>
                                <w:sz w:val="28"/>
                              </w:rPr>
                            </w:pPr>
                          </w:p>
                        </w:txbxContent>
                      </wps:txbx>
                      <wps:bodyPr rot="0" vert="horz" wrap="square" lIns="91440" tIns="45720" rIns="91440" bIns="45720" anchor="t" anchorCtr="0" upright="1">
                        <a:noAutofit/>
                      </wps:bodyPr>
                    </wps:wsp>
                  </a:graphicData>
                </a:graphic>
              </wp:anchor>
            </w:drawing>
          </mc:Choice>
          <mc:Fallback>
            <w:pict>
              <v:rect id="Rectangle 2" o:spid="_x0000_s1026" o:spt="1" style="position:absolute;left:0pt;margin-left:246.75pt;margin-top:6.4pt;height:135.6pt;width:177.75pt;z-index:251659264;mso-width-relative:page;mso-height-relative:page;" fillcolor="#FFFFFF" filled="t" stroked="t" coordsize="21600,21600" o:gfxdata="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hkAd+1wAAAAoBAAAPAAAAAAAAAAEAIAAAACIAAABkcnMvZG93bnJldi54bWxQSwECFAAU&#10;AAAACACHTuJA6kD+vSsCAAB+BAAADgAAAAAAAAABACAAAAAmAQAAZHJzL2Uyb0RvYy54bWxQSwUG&#10;AAAAAAYABgBZAQAAwwUAAAAA&#10;">
                <v:fill on="t" focussize="0,0"/>
                <v:stroke color="#000000" miterlimit="8" joinstyle="miter"/>
                <v:imagedata o:title=""/>
                <o:lock v:ext="edit" aspectratio="f"/>
                <v:textbox>
                  <w:txbxContent>
                    <w:p w14:paraId="7DC149C1">
                      <w:pPr>
                        <w:rPr>
                          <w:rFonts w:eastAsia="黑体"/>
                          <w:b/>
                          <w:sz w:val="30"/>
                        </w:rPr>
                      </w:pPr>
                    </w:p>
                    <w:p w14:paraId="33AADE71">
                      <w:pPr>
                        <w:jc w:val="center"/>
                        <w:rPr>
                          <w:rFonts w:eastAsia="华文中宋"/>
                          <w:b/>
                          <w:sz w:val="28"/>
                        </w:rPr>
                      </w:pPr>
                      <w:r>
                        <w:rPr>
                          <w:rFonts w:hint="eastAsia" w:eastAsia="华文中宋"/>
                          <w:b/>
                          <w:sz w:val="28"/>
                        </w:rPr>
                        <w:t>法人代表</w:t>
                      </w:r>
                    </w:p>
                    <w:p w14:paraId="1D94004A">
                      <w:pPr>
                        <w:jc w:val="center"/>
                        <w:rPr>
                          <w:rFonts w:eastAsia="华文中宋"/>
                          <w:b/>
                          <w:sz w:val="28"/>
                        </w:rPr>
                      </w:pPr>
                      <w:r>
                        <w:rPr>
                          <w:rFonts w:hint="eastAsia" w:eastAsia="华文中宋"/>
                          <w:b/>
                          <w:sz w:val="28"/>
                        </w:rPr>
                        <w:t>居民身份证复印件粘贴处</w:t>
                      </w:r>
                    </w:p>
                    <w:p w14:paraId="699628E6">
                      <w:pPr>
                        <w:pStyle w:val="32"/>
                      </w:pPr>
                      <w:r>
                        <w:rPr>
                          <w:rFonts w:hint="eastAsia"/>
                        </w:rPr>
                        <w:t>（请加盖骑缝章）</w:t>
                      </w:r>
                    </w:p>
                    <w:p w14:paraId="45AD2A67">
                      <w:pPr>
                        <w:jc w:val="center"/>
                        <w:rPr>
                          <w:rFonts w:eastAsia="华文中宋"/>
                          <w:sz w:val="28"/>
                        </w:rPr>
                      </w:pPr>
                    </w:p>
                  </w:txbxContent>
                </v:textbox>
              </v:rect>
            </w:pict>
          </mc:Fallback>
        </mc:AlternateContent>
      </w:r>
      <w:r>
        <w:rPr>
          <w:rFonts w:asciiTheme="minorEastAsia" w:hAnsiTheme="minorEastAsia" w:eastAsiaTheme="minorEastAsia"/>
          <w:sz w:val="24"/>
          <w:szCs w:val="24"/>
        </w:rPr>
        <mc:AlternateContent>
          <mc:Choice Requires="wps">
            <w:drawing>
              <wp:anchor distT="0" distB="0" distL="114300" distR="114300" simplePos="0" relativeHeight="251660288" behindDoc="0" locked="0" layoutInCell="1" allowOverlap="1">
                <wp:simplePos x="0" y="0"/>
                <wp:positionH relativeFrom="column">
                  <wp:posOffset>3133725</wp:posOffset>
                </wp:positionH>
                <wp:positionV relativeFrom="paragraph">
                  <wp:posOffset>1957070</wp:posOffset>
                </wp:positionV>
                <wp:extent cx="2257425" cy="1722120"/>
                <wp:effectExtent l="8255" t="10795" r="10795" b="10160"/>
                <wp:wrapNone/>
                <wp:docPr id="3" name="Rectangle 3"/>
                <wp:cNvGraphicFramePr/>
                <a:graphic xmlns:a="http://schemas.openxmlformats.org/drawingml/2006/main">
                  <a:graphicData uri="http://schemas.microsoft.com/office/word/2010/wordprocessingShape">
                    <wps:wsp>
                      <wps:cNvSpPr>
                        <a:spLocks noChangeArrowheads="1"/>
                      </wps:cNvSpPr>
                      <wps:spPr bwMode="auto">
                        <a:xfrm>
                          <a:off x="0" y="0"/>
                          <a:ext cx="2257425" cy="1722120"/>
                        </a:xfrm>
                        <a:prstGeom prst="rect">
                          <a:avLst/>
                        </a:prstGeom>
                        <a:solidFill>
                          <a:srgbClr val="FFFFFF"/>
                        </a:solidFill>
                        <a:ln w="9525">
                          <a:solidFill>
                            <a:srgbClr val="000000"/>
                          </a:solidFill>
                          <a:miter lim="800000"/>
                        </a:ln>
                      </wps:spPr>
                      <wps:txbx>
                        <w:txbxContent>
                          <w:p w14:paraId="293BBCB9">
                            <w:pPr>
                              <w:rPr>
                                <w:rFonts w:eastAsia="黑体"/>
                                <w:b/>
                                <w:sz w:val="30"/>
                              </w:rPr>
                            </w:pPr>
                          </w:p>
                          <w:p w14:paraId="40526196">
                            <w:pPr>
                              <w:jc w:val="center"/>
                              <w:rPr>
                                <w:rFonts w:eastAsia="华文中宋"/>
                                <w:b/>
                                <w:sz w:val="28"/>
                              </w:rPr>
                            </w:pPr>
                            <w:r>
                              <w:rPr>
                                <w:rFonts w:hint="eastAsia" w:eastAsia="华文中宋"/>
                                <w:b/>
                                <w:sz w:val="28"/>
                              </w:rPr>
                              <w:t>被授权人</w:t>
                            </w:r>
                          </w:p>
                          <w:p w14:paraId="7E3E4917">
                            <w:pPr>
                              <w:jc w:val="center"/>
                              <w:rPr>
                                <w:rFonts w:eastAsia="华文中宋"/>
                                <w:b/>
                                <w:sz w:val="28"/>
                              </w:rPr>
                            </w:pPr>
                            <w:r>
                              <w:rPr>
                                <w:rFonts w:hint="eastAsia" w:eastAsia="华文中宋"/>
                                <w:b/>
                                <w:sz w:val="28"/>
                              </w:rPr>
                              <w:t>居民身份证复印件粘贴处</w:t>
                            </w:r>
                          </w:p>
                          <w:p w14:paraId="5E5DCC6F">
                            <w:pPr>
                              <w:pStyle w:val="32"/>
                            </w:pPr>
                            <w:r>
                              <w:rPr>
                                <w:rFonts w:hint="eastAsia"/>
                              </w:rPr>
                              <w:t>（请加盖骑缝章）</w:t>
                            </w:r>
                          </w:p>
                          <w:p w14:paraId="263BE113">
                            <w:pPr>
                              <w:jc w:val="center"/>
                              <w:rPr>
                                <w:rFonts w:eastAsia="华文中宋"/>
                                <w:sz w:val="28"/>
                              </w:rPr>
                            </w:pPr>
                          </w:p>
                        </w:txbxContent>
                      </wps:txbx>
                      <wps:bodyPr rot="0" vert="horz" wrap="square" lIns="91440" tIns="45720" rIns="91440" bIns="45720" anchor="t" anchorCtr="0" upright="1">
                        <a:noAutofit/>
                      </wps:bodyPr>
                    </wps:wsp>
                  </a:graphicData>
                </a:graphic>
              </wp:anchor>
            </w:drawing>
          </mc:Choice>
          <mc:Fallback>
            <w:pict>
              <v:rect id="Rectangle 3" o:spid="_x0000_s1026" o:spt="1" style="position:absolute;left:0pt;margin-left:246.75pt;margin-top:154.1pt;height:135.6pt;width:177.75pt;z-index:251660288;mso-width-relative:page;mso-height-relative:page;" fillcolor="#FFFFFF" filled="t" stroked="t" coordsize="21600,21600" o:gfxdata="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VwtRMdoAAAALAQAADwAAAAAAAAABACAAAAAiAAAAZHJzL2Rvd25yZXYueG1sUEsB&#10;AhQAFAAAAAgAh07iQPYH8DwsAgAAfgQAAA4AAAAAAAAAAQAgAAAAKQEAAGRycy9lMm9Eb2MueG1s&#10;UEsFBgAAAAAGAAYAWQEAAMcFAAAAAA==&#10;">
                <v:fill on="t" focussize="0,0"/>
                <v:stroke color="#000000" miterlimit="8" joinstyle="miter"/>
                <v:imagedata o:title=""/>
                <o:lock v:ext="edit" aspectratio="f"/>
                <v:textbox>
                  <w:txbxContent>
                    <w:p w14:paraId="293BBCB9">
                      <w:pPr>
                        <w:rPr>
                          <w:rFonts w:eastAsia="黑体"/>
                          <w:b/>
                          <w:sz w:val="30"/>
                        </w:rPr>
                      </w:pPr>
                    </w:p>
                    <w:p w14:paraId="40526196">
                      <w:pPr>
                        <w:jc w:val="center"/>
                        <w:rPr>
                          <w:rFonts w:eastAsia="华文中宋"/>
                          <w:b/>
                          <w:sz w:val="28"/>
                        </w:rPr>
                      </w:pPr>
                      <w:r>
                        <w:rPr>
                          <w:rFonts w:hint="eastAsia" w:eastAsia="华文中宋"/>
                          <w:b/>
                          <w:sz w:val="28"/>
                        </w:rPr>
                        <w:t>被授权人</w:t>
                      </w:r>
                    </w:p>
                    <w:p w14:paraId="7E3E4917">
                      <w:pPr>
                        <w:jc w:val="center"/>
                        <w:rPr>
                          <w:rFonts w:eastAsia="华文中宋"/>
                          <w:b/>
                          <w:sz w:val="28"/>
                        </w:rPr>
                      </w:pPr>
                      <w:r>
                        <w:rPr>
                          <w:rFonts w:hint="eastAsia" w:eastAsia="华文中宋"/>
                          <w:b/>
                          <w:sz w:val="28"/>
                        </w:rPr>
                        <w:t>居民身份证复印件粘贴处</w:t>
                      </w:r>
                    </w:p>
                    <w:p w14:paraId="5E5DCC6F">
                      <w:pPr>
                        <w:pStyle w:val="32"/>
                      </w:pPr>
                      <w:r>
                        <w:rPr>
                          <w:rFonts w:hint="eastAsia"/>
                        </w:rPr>
                        <w:t>（请加盖骑缝章）</w:t>
                      </w:r>
                    </w:p>
                    <w:p w14:paraId="263BE113">
                      <w:pPr>
                        <w:jc w:val="center"/>
                        <w:rPr>
                          <w:rFonts w:eastAsia="华文中宋"/>
                          <w:sz w:val="28"/>
                        </w:rPr>
                      </w:pPr>
                    </w:p>
                  </w:txbxContent>
                </v:textbox>
              </v:rect>
            </w:pict>
          </mc:Fallback>
        </mc:AlternateContent>
      </w:r>
      <w:r>
        <w:rPr>
          <w:rFonts w:asciiTheme="minorEastAsia" w:hAnsiTheme="minorEastAsia" w:eastAsiaTheme="minorEastAsia"/>
          <w:sz w:val="24"/>
          <w:szCs w:val="24"/>
        </w:rPr>
        <mc:AlternateContent>
          <mc:Choice Requires="wps">
            <w:drawing>
              <wp:anchor distT="0" distB="0" distL="114300" distR="114300" simplePos="0" relativeHeight="251661312" behindDoc="0" locked="0" layoutInCell="1" allowOverlap="1">
                <wp:simplePos x="0" y="0"/>
                <wp:positionH relativeFrom="column">
                  <wp:posOffset>626110</wp:posOffset>
                </wp:positionH>
                <wp:positionV relativeFrom="paragraph">
                  <wp:posOffset>1957070</wp:posOffset>
                </wp:positionV>
                <wp:extent cx="2326640" cy="1722120"/>
                <wp:effectExtent l="5715" t="10795" r="10795" b="10160"/>
                <wp:wrapNone/>
                <wp:docPr id="2" name="Rectangle 4"/>
                <wp:cNvGraphicFramePr/>
                <a:graphic xmlns:a="http://schemas.openxmlformats.org/drawingml/2006/main">
                  <a:graphicData uri="http://schemas.microsoft.com/office/word/2010/wordprocessingShape">
                    <wps:wsp>
                      <wps:cNvSpPr>
                        <a:spLocks noChangeArrowheads="1"/>
                      </wps:cNvSpPr>
                      <wps:spPr bwMode="auto">
                        <a:xfrm>
                          <a:off x="0" y="0"/>
                          <a:ext cx="2326640" cy="1722120"/>
                        </a:xfrm>
                        <a:prstGeom prst="rect">
                          <a:avLst/>
                        </a:prstGeom>
                        <a:solidFill>
                          <a:srgbClr val="FFFFFF"/>
                        </a:solidFill>
                        <a:ln w="9525">
                          <a:solidFill>
                            <a:srgbClr val="000000"/>
                          </a:solidFill>
                          <a:miter lim="800000"/>
                        </a:ln>
                      </wps:spPr>
                      <wps:txbx>
                        <w:txbxContent>
                          <w:p w14:paraId="421D0091">
                            <w:pPr>
                              <w:rPr>
                                <w:rFonts w:eastAsia="黑体"/>
                                <w:b/>
                                <w:sz w:val="30"/>
                              </w:rPr>
                            </w:pPr>
                          </w:p>
                          <w:p w14:paraId="60C8DDAB">
                            <w:pPr>
                              <w:jc w:val="center"/>
                              <w:rPr>
                                <w:rFonts w:eastAsia="华文中宋"/>
                                <w:b/>
                                <w:sz w:val="28"/>
                              </w:rPr>
                            </w:pPr>
                            <w:r>
                              <w:rPr>
                                <w:rFonts w:hint="eastAsia" w:eastAsia="华文中宋"/>
                                <w:b/>
                                <w:sz w:val="28"/>
                              </w:rPr>
                              <w:t>被授权人</w:t>
                            </w:r>
                          </w:p>
                          <w:p w14:paraId="4689421D">
                            <w:pPr>
                              <w:jc w:val="center"/>
                              <w:rPr>
                                <w:rFonts w:eastAsia="华文中宋"/>
                                <w:b/>
                                <w:sz w:val="28"/>
                              </w:rPr>
                            </w:pPr>
                            <w:r>
                              <w:rPr>
                                <w:rFonts w:hint="eastAsia" w:eastAsia="华文中宋"/>
                                <w:b/>
                                <w:sz w:val="28"/>
                              </w:rPr>
                              <w:t>居民身份证复印件粘贴处</w:t>
                            </w:r>
                          </w:p>
                          <w:p w14:paraId="526CE83A">
                            <w:pPr>
                              <w:pStyle w:val="32"/>
                            </w:pPr>
                            <w:r>
                              <w:rPr>
                                <w:rFonts w:hint="eastAsia"/>
                              </w:rPr>
                              <w:t>（请加盖骑缝章）</w:t>
                            </w:r>
                          </w:p>
                          <w:p w14:paraId="3BC5FBE0">
                            <w:pPr>
                              <w:jc w:val="center"/>
                              <w:rPr>
                                <w:rFonts w:eastAsia="华文中宋"/>
                                <w:sz w:val="28"/>
                              </w:rPr>
                            </w:pPr>
                          </w:p>
                        </w:txbxContent>
                      </wps:txbx>
                      <wps:bodyPr rot="0" vert="horz" wrap="square" lIns="91440" tIns="45720" rIns="91440" bIns="45720" anchor="t" anchorCtr="0" upright="1">
                        <a:noAutofit/>
                      </wps:bodyPr>
                    </wps:wsp>
                  </a:graphicData>
                </a:graphic>
              </wp:anchor>
            </w:drawing>
          </mc:Choice>
          <mc:Fallback>
            <w:pict>
              <v:rect id="Rectangle 4" o:spid="_x0000_s1026" o:spt="1" style="position:absolute;left:0pt;margin-left:49.3pt;margin-top:154.1pt;height:135.6pt;width:183.2pt;z-index:251661312;mso-width-relative:page;mso-height-relative:page;" fillcolor="#FFFFFF" filled="t" stroked="t" coordsize="21600,21600" o:gfxdata="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mehgR2QAAAAoBAAAPAAAAAAAAAAEAIAAAACIAAABkcnMvZG93bnJldi54bWxQ&#10;SwECFAAUAAAACACHTuJATsg6iy8CAAB+BAAADgAAAAAAAAABACAAAAAoAQAAZHJzL2Uyb0RvYy54&#10;bWxQSwUGAAAAAAYABgBZAQAAyQUAAAAA&#10;">
                <v:fill on="t" focussize="0,0"/>
                <v:stroke color="#000000" miterlimit="8" joinstyle="miter"/>
                <v:imagedata o:title=""/>
                <o:lock v:ext="edit" aspectratio="f"/>
                <v:textbox>
                  <w:txbxContent>
                    <w:p w14:paraId="421D0091">
                      <w:pPr>
                        <w:rPr>
                          <w:rFonts w:eastAsia="黑体"/>
                          <w:b/>
                          <w:sz w:val="30"/>
                        </w:rPr>
                      </w:pPr>
                    </w:p>
                    <w:p w14:paraId="60C8DDAB">
                      <w:pPr>
                        <w:jc w:val="center"/>
                        <w:rPr>
                          <w:rFonts w:eastAsia="华文中宋"/>
                          <w:b/>
                          <w:sz w:val="28"/>
                        </w:rPr>
                      </w:pPr>
                      <w:r>
                        <w:rPr>
                          <w:rFonts w:hint="eastAsia" w:eastAsia="华文中宋"/>
                          <w:b/>
                          <w:sz w:val="28"/>
                        </w:rPr>
                        <w:t>被授权人</w:t>
                      </w:r>
                    </w:p>
                    <w:p w14:paraId="4689421D">
                      <w:pPr>
                        <w:jc w:val="center"/>
                        <w:rPr>
                          <w:rFonts w:eastAsia="华文中宋"/>
                          <w:b/>
                          <w:sz w:val="28"/>
                        </w:rPr>
                      </w:pPr>
                      <w:r>
                        <w:rPr>
                          <w:rFonts w:hint="eastAsia" w:eastAsia="华文中宋"/>
                          <w:b/>
                          <w:sz w:val="28"/>
                        </w:rPr>
                        <w:t>居民身份证复印件粘贴处</w:t>
                      </w:r>
                    </w:p>
                    <w:p w14:paraId="526CE83A">
                      <w:pPr>
                        <w:pStyle w:val="32"/>
                      </w:pPr>
                      <w:r>
                        <w:rPr>
                          <w:rFonts w:hint="eastAsia"/>
                        </w:rPr>
                        <w:t>（请加盖骑缝章）</w:t>
                      </w:r>
                    </w:p>
                    <w:p w14:paraId="3BC5FBE0">
                      <w:pPr>
                        <w:jc w:val="center"/>
                        <w:rPr>
                          <w:rFonts w:eastAsia="华文中宋"/>
                          <w:sz w:val="28"/>
                        </w:rPr>
                      </w:pPr>
                    </w:p>
                  </w:txbxContent>
                </v:textbox>
              </v:rect>
            </w:pict>
          </mc:Fallback>
        </mc:AlternateContent>
      </w:r>
      <w:r>
        <w:rPr>
          <w:rFonts w:asciiTheme="minorEastAsia" w:hAnsiTheme="minorEastAsia" w:eastAsiaTheme="minorEastAsia"/>
          <w:sz w:val="24"/>
          <w:szCs w:val="24"/>
        </w:rPr>
        <mc:AlternateContent>
          <mc:Choice Requires="wps">
            <w:drawing>
              <wp:anchor distT="0" distB="0" distL="114300" distR="114300" simplePos="0" relativeHeight="251662336" behindDoc="0" locked="0" layoutInCell="1" allowOverlap="1">
                <wp:simplePos x="0" y="0"/>
                <wp:positionH relativeFrom="column">
                  <wp:posOffset>626110</wp:posOffset>
                </wp:positionH>
                <wp:positionV relativeFrom="paragraph">
                  <wp:posOffset>81280</wp:posOffset>
                </wp:positionV>
                <wp:extent cx="2326640" cy="1722120"/>
                <wp:effectExtent l="5715" t="11430" r="10795" b="9525"/>
                <wp:wrapNone/>
                <wp:docPr id="1" name="Rectangle 5"/>
                <wp:cNvGraphicFramePr/>
                <a:graphic xmlns:a="http://schemas.openxmlformats.org/drawingml/2006/main">
                  <a:graphicData uri="http://schemas.microsoft.com/office/word/2010/wordprocessingShape">
                    <wps:wsp>
                      <wps:cNvSpPr>
                        <a:spLocks noChangeArrowheads="1"/>
                      </wps:cNvSpPr>
                      <wps:spPr bwMode="auto">
                        <a:xfrm>
                          <a:off x="0" y="0"/>
                          <a:ext cx="2326640" cy="1722120"/>
                        </a:xfrm>
                        <a:prstGeom prst="rect">
                          <a:avLst/>
                        </a:prstGeom>
                        <a:solidFill>
                          <a:srgbClr val="FFFFFF"/>
                        </a:solidFill>
                        <a:ln w="9525">
                          <a:solidFill>
                            <a:srgbClr val="000000"/>
                          </a:solidFill>
                          <a:miter lim="800000"/>
                        </a:ln>
                      </wps:spPr>
                      <wps:txbx>
                        <w:txbxContent>
                          <w:p w14:paraId="7C93EB4F">
                            <w:pPr>
                              <w:rPr>
                                <w:rFonts w:eastAsia="黑体"/>
                                <w:b/>
                                <w:sz w:val="30"/>
                              </w:rPr>
                            </w:pPr>
                          </w:p>
                          <w:p w14:paraId="049D0F00">
                            <w:pPr>
                              <w:jc w:val="center"/>
                              <w:rPr>
                                <w:rFonts w:eastAsia="华文中宋"/>
                                <w:b/>
                                <w:sz w:val="28"/>
                              </w:rPr>
                            </w:pPr>
                            <w:r>
                              <w:rPr>
                                <w:rFonts w:hint="eastAsia" w:eastAsia="华文中宋"/>
                                <w:b/>
                                <w:sz w:val="28"/>
                              </w:rPr>
                              <w:t>法人代表</w:t>
                            </w:r>
                          </w:p>
                          <w:p w14:paraId="090D3C23">
                            <w:pPr>
                              <w:jc w:val="center"/>
                              <w:rPr>
                                <w:rFonts w:eastAsia="华文中宋"/>
                                <w:b/>
                                <w:sz w:val="28"/>
                              </w:rPr>
                            </w:pPr>
                            <w:r>
                              <w:rPr>
                                <w:rFonts w:hint="eastAsia" w:eastAsia="华文中宋"/>
                                <w:b/>
                                <w:sz w:val="28"/>
                              </w:rPr>
                              <w:t>居民身份证复印件粘贴处</w:t>
                            </w:r>
                          </w:p>
                          <w:p w14:paraId="161337FA">
                            <w:pPr>
                              <w:pStyle w:val="32"/>
                            </w:pPr>
                            <w:r>
                              <w:rPr>
                                <w:rFonts w:hint="eastAsia"/>
                              </w:rPr>
                              <w:t>（请加盖骑缝章）</w:t>
                            </w:r>
                          </w:p>
                          <w:p w14:paraId="25A1082A">
                            <w:pPr>
                              <w:jc w:val="center"/>
                              <w:rPr>
                                <w:rFonts w:eastAsia="华文中宋"/>
                                <w:sz w:val="28"/>
                              </w:rPr>
                            </w:pPr>
                          </w:p>
                        </w:txbxContent>
                      </wps:txbx>
                      <wps:bodyPr rot="0" vert="horz" wrap="square" lIns="91440" tIns="45720" rIns="91440" bIns="45720" anchor="t" anchorCtr="0" upright="1">
                        <a:noAutofit/>
                      </wps:bodyPr>
                    </wps:wsp>
                  </a:graphicData>
                </a:graphic>
              </wp:anchor>
            </w:drawing>
          </mc:Choice>
          <mc:Fallback>
            <w:pict>
              <v:rect id="Rectangle 5" o:spid="_x0000_s1026" o:spt="1" style="position:absolute;left:0pt;margin-left:49.3pt;margin-top:6.4pt;height:135.6pt;width:183.2pt;z-index:251662336;mso-width-relative:page;mso-height-relative:page;" fillcolor="#FFFFFF" filled="t" stroked="t" coordsize="21600,21600" o:gfxdata="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DqqikdcAAAAJAQAADwAAAAAAAAABACAAAAAiAAAAZHJzL2Rvd25yZXYueG1sUEsB&#10;AhQAFAAAAAgAh07iQF7y7PAvAgAAfgQAAA4AAAAAAAAAAQAgAAAAJgEAAGRycy9lMm9Eb2MueG1s&#10;UEsFBgAAAAAGAAYAWQEAAMcFAAAAAA==&#10;">
                <v:fill on="t" focussize="0,0"/>
                <v:stroke color="#000000" miterlimit="8" joinstyle="miter"/>
                <v:imagedata o:title=""/>
                <o:lock v:ext="edit" aspectratio="f"/>
                <v:textbox>
                  <w:txbxContent>
                    <w:p w14:paraId="7C93EB4F">
                      <w:pPr>
                        <w:rPr>
                          <w:rFonts w:eastAsia="黑体"/>
                          <w:b/>
                          <w:sz w:val="30"/>
                        </w:rPr>
                      </w:pPr>
                    </w:p>
                    <w:p w14:paraId="049D0F00">
                      <w:pPr>
                        <w:jc w:val="center"/>
                        <w:rPr>
                          <w:rFonts w:eastAsia="华文中宋"/>
                          <w:b/>
                          <w:sz w:val="28"/>
                        </w:rPr>
                      </w:pPr>
                      <w:r>
                        <w:rPr>
                          <w:rFonts w:hint="eastAsia" w:eastAsia="华文中宋"/>
                          <w:b/>
                          <w:sz w:val="28"/>
                        </w:rPr>
                        <w:t>法人代表</w:t>
                      </w:r>
                    </w:p>
                    <w:p w14:paraId="090D3C23">
                      <w:pPr>
                        <w:jc w:val="center"/>
                        <w:rPr>
                          <w:rFonts w:eastAsia="华文中宋"/>
                          <w:b/>
                          <w:sz w:val="28"/>
                        </w:rPr>
                      </w:pPr>
                      <w:r>
                        <w:rPr>
                          <w:rFonts w:hint="eastAsia" w:eastAsia="华文中宋"/>
                          <w:b/>
                          <w:sz w:val="28"/>
                        </w:rPr>
                        <w:t>居民身份证复印件粘贴处</w:t>
                      </w:r>
                    </w:p>
                    <w:p w14:paraId="161337FA">
                      <w:pPr>
                        <w:pStyle w:val="32"/>
                      </w:pPr>
                      <w:r>
                        <w:rPr>
                          <w:rFonts w:hint="eastAsia"/>
                        </w:rPr>
                        <w:t>（请加盖骑缝章）</w:t>
                      </w:r>
                    </w:p>
                    <w:p w14:paraId="25A1082A">
                      <w:pPr>
                        <w:jc w:val="center"/>
                        <w:rPr>
                          <w:rFonts w:eastAsia="华文中宋"/>
                          <w:sz w:val="28"/>
                        </w:rPr>
                      </w:pPr>
                    </w:p>
                  </w:txbxContent>
                </v:textbox>
              </v:rect>
            </w:pict>
          </mc:Fallback>
        </mc:AlternateContent>
      </w:r>
    </w:p>
    <w:p w14:paraId="4D7BE863">
      <w:pPr>
        <w:spacing w:line="500" w:lineRule="exact"/>
        <w:ind w:firstLine="555"/>
        <w:jc w:val="left"/>
        <w:rPr>
          <w:rFonts w:asciiTheme="minorEastAsia" w:hAnsiTheme="minorEastAsia" w:eastAsiaTheme="minorEastAsia"/>
          <w:bCs/>
          <w:sz w:val="24"/>
          <w:szCs w:val="24"/>
          <w:u w:val="single"/>
        </w:rPr>
      </w:pPr>
    </w:p>
    <w:p w14:paraId="7961F869">
      <w:pPr>
        <w:spacing w:line="500" w:lineRule="exact"/>
        <w:ind w:firstLine="555"/>
        <w:jc w:val="left"/>
        <w:rPr>
          <w:rFonts w:asciiTheme="minorEastAsia" w:hAnsiTheme="minorEastAsia" w:eastAsiaTheme="minorEastAsia"/>
          <w:bCs/>
          <w:sz w:val="24"/>
          <w:szCs w:val="24"/>
          <w:u w:val="single"/>
        </w:rPr>
      </w:pPr>
    </w:p>
    <w:p w14:paraId="3FA187C0">
      <w:pPr>
        <w:spacing w:line="500" w:lineRule="exact"/>
        <w:ind w:firstLine="555"/>
        <w:jc w:val="left"/>
        <w:rPr>
          <w:rFonts w:asciiTheme="minorEastAsia" w:hAnsiTheme="minorEastAsia" w:eastAsiaTheme="minorEastAsia"/>
          <w:bCs/>
          <w:sz w:val="24"/>
          <w:szCs w:val="24"/>
          <w:u w:val="single"/>
        </w:rPr>
      </w:pPr>
    </w:p>
    <w:p w14:paraId="10A41CAE">
      <w:pPr>
        <w:tabs>
          <w:tab w:val="left" w:pos="0"/>
        </w:tabs>
        <w:spacing w:line="276" w:lineRule="auto"/>
        <w:jc w:val="left"/>
        <w:rPr>
          <w:rFonts w:asciiTheme="minorEastAsia" w:hAnsiTheme="minorEastAsia" w:eastAsiaTheme="minorEastAsia"/>
          <w:sz w:val="24"/>
          <w:szCs w:val="24"/>
        </w:rPr>
      </w:pPr>
    </w:p>
    <w:p w14:paraId="665EA7F0">
      <w:pPr>
        <w:rPr>
          <w:rFonts w:asciiTheme="minorEastAsia" w:hAnsiTheme="minorEastAsia" w:eastAsiaTheme="minorEastAsia"/>
          <w:sz w:val="24"/>
          <w:szCs w:val="24"/>
        </w:rPr>
      </w:pPr>
    </w:p>
    <w:p w14:paraId="1E1C6691">
      <w:pPr>
        <w:rPr>
          <w:rFonts w:asciiTheme="minorEastAsia" w:hAnsiTheme="minorEastAsia" w:eastAsiaTheme="minorEastAsia"/>
          <w:sz w:val="24"/>
          <w:szCs w:val="24"/>
        </w:rPr>
      </w:pPr>
    </w:p>
    <w:p w14:paraId="21CD9AD4">
      <w:pPr>
        <w:spacing w:line="300" w:lineRule="auto"/>
        <w:rPr>
          <w:rFonts w:asciiTheme="minorEastAsia" w:hAnsiTheme="minorEastAsia" w:eastAsiaTheme="minorEastAsia"/>
          <w:sz w:val="24"/>
          <w:szCs w:val="24"/>
        </w:rPr>
      </w:pPr>
    </w:p>
    <w:p w14:paraId="2AEA1F0D">
      <w:pPr>
        <w:spacing w:line="300" w:lineRule="auto"/>
        <w:rPr>
          <w:rFonts w:asciiTheme="minorEastAsia" w:hAnsiTheme="minorEastAsia" w:eastAsiaTheme="minorEastAsia"/>
          <w:sz w:val="24"/>
          <w:szCs w:val="24"/>
        </w:rPr>
      </w:pPr>
    </w:p>
    <w:p w14:paraId="5588D7D0">
      <w:pPr>
        <w:spacing w:line="300" w:lineRule="auto"/>
        <w:rPr>
          <w:rFonts w:asciiTheme="minorEastAsia" w:hAnsiTheme="minorEastAsia" w:eastAsiaTheme="minorEastAsia"/>
          <w:sz w:val="24"/>
          <w:szCs w:val="24"/>
        </w:rPr>
      </w:pPr>
    </w:p>
    <w:p w14:paraId="1A65A99A">
      <w:pPr>
        <w:spacing w:line="300" w:lineRule="auto"/>
        <w:rPr>
          <w:rFonts w:asciiTheme="minorEastAsia" w:hAnsiTheme="minorEastAsia" w:eastAsiaTheme="minorEastAsia"/>
          <w:sz w:val="24"/>
          <w:szCs w:val="24"/>
        </w:rPr>
      </w:pPr>
    </w:p>
    <w:p w14:paraId="63D5DBD0">
      <w:pPr>
        <w:spacing w:line="300" w:lineRule="auto"/>
        <w:rPr>
          <w:rFonts w:asciiTheme="minorEastAsia" w:hAnsiTheme="minorEastAsia" w:eastAsiaTheme="minorEastAsia"/>
          <w:sz w:val="24"/>
          <w:szCs w:val="24"/>
        </w:rPr>
      </w:pPr>
    </w:p>
    <w:p w14:paraId="06294C36">
      <w:pPr>
        <w:spacing w:line="300" w:lineRule="auto"/>
        <w:rPr>
          <w:rFonts w:asciiTheme="minorEastAsia" w:hAnsiTheme="minorEastAsia" w:eastAsiaTheme="minorEastAsia"/>
          <w:sz w:val="24"/>
          <w:szCs w:val="24"/>
        </w:rPr>
      </w:pPr>
    </w:p>
    <w:p w14:paraId="4128AB8B">
      <w:pPr>
        <w:spacing w:line="300" w:lineRule="auto"/>
        <w:rPr>
          <w:rFonts w:asciiTheme="minorEastAsia" w:hAnsiTheme="minorEastAsia" w:eastAsiaTheme="minorEastAsia"/>
          <w:sz w:val="24"/>
          <w:szCs w:val="24"/>
        </w:rPr>
      </w:pPr>
    </w:p>
    <w:p w14:paraId="43280C21">
      <w:pPr>
        <w:spacing w:line="300" w:lineRule="auto"/>
        <w:rPr>
          <w:rFonts w:asciiTheme="minorEastAsia" w:hAnsiTheme="minorEastAsia" w:eastAsiaTheme="minorEastAsia"/>
          <w:sz w:val="24"/>
          <w:szCs w:val="24"/>
        </w:rPr>
      </w:pPr>
    </w:p>
    <w:p w14:paraId="429DC38B">
      <w:pPr>
        <w:spacing w:line="300" w:lineRule="auto"/>
        <w:rPr>
          <w:rFonts w:asciiTheme="minorEastAsia" w:hAnsiTheme="minorEastAsia" w:eastAsiaTheme="minorEastAsia"/>
          <w:sz w:val="24"/>
          <w:szCs w:val="24"/>
        </w:rPr>
      </w:pPr>
    </w:p>
    <w:p w14:paraId="4D8D17E3">
      <w:pPr>
        <w:spacing w:line="300" w:lineRule="auto"/>
        <w:rPr>
          <w:rFonts w:asciiTheme="minorEastAsia" w:hAnsiTheme="minorEastAsia" w:eastAsiaTheme="minorEastAsia"/>
          <w:bCs/>
          <w:sz w:val="24"/>
          <w:szCs w:val="24"/>
        </w:rPr>
        <w:sectPr>
          <w:pgSz w:w="11906" w:h="16838"/>
          <w:pgMar w:top="1701" w:right="1588" w:bottom="1304" w:left="1588" w:header="1247" w:footer="737" w:gutter="0"/>
          <w:cols w:space="425" w:num="1"/>
          <w:docGrid w:linePitch="380" w:charSpace="-4301"/>
        </w:sectPr>
      </w:pPr>
    </w:p>
    <w:bookmarkEnd w:id="18"/>
    <w:bookmarkEnd w:id="19"/>
    <w:bookmarkEnd w:id="20"/>
    <w:bookmarkEnd w:id="21"/>
    <w:bookmarkEnd w:id="22"/>
    <w:p w14:paraId="47F4949B">
      <w:pPr>
        <w:numPr>
          <w:ilvl w:val="0"/>
          <w:numId w:val="0"/>
        </w:numPr>
        <w:spacing w:line="360" w:lineRule="auto"/>
        <w:ind w:firstLine="2983" w:firstLineChars="1238"/>
        <w:rPr>
          <w:rFonts w:hint="eastAsia" w:asciiTheme="minorEastAsia" w:hAnsiTheme="minorEastAsia" w:eastAsiaTheme="minorEastAsia"/>
          <w:b/>
          <w:bCs/>
          <w:sz w:val="24"/>
          <w:szCs w:val="24"/>
        </w:rPr>
      </w:pPr>
      <w:r>
        <w:rPr>
          <w:rFonts w:hint="eastAsia" w:cs="Times New Roman" w:asciiTheme="minorEastAsia" w:hAnsiTheme="minorEastAsia" w:eastAsiaTheme="minorEastAsia"/>
          <w:b/>
          <w:bCs/>
          <w:kern w:val="2"/>
          <w:sz w:val="24"/>
          <w:szCs w:val="24"/>
          <w:lang w:val="en-US" w:eastAsia="zh-CN" w:bidi="ar-SA"/>
        </w:rPr>
        <w:t>三、</w:t>
      </w:r>
      <w:r>
        <w:rPr>
          <w:rFonts w:hint="eastAsia" w:asciiTheme="minorEastAsia" w:hAnsiTheme="minorEastAsia" w:eastAsiaTheme="minorEastAsia"/>
          <w:b/>
          <w:bCs/>
          <w:sz w:val="24"/>
          <w:szCs w:val="24"/>
        </w:rPr>
        <w:t>技术规格偏离表</w:t>
      </w:r>
    </w:p>
    <w:p w14:paraId="705ED0A7">
      <w:pPr>
        <w:rPr>
          <w:rFonts w:hint="eastAsia" w:asciiTheme="minorEastAsia" w:hAnsiTheme="minorEastAsia" w:eastAsiaTheme="minorEastAsia"/>
          <w:b/>
          <w:bCs/>
          <w:sz w:val="24"/>
          <w:szCs w:val="24"/>
        </w:rPr>
      </w:pPr>
      <w:r>
        <w:rPr>
          <w:rFonts w:hint="eastAsia" w:asciiTheme="minorEastAsia" w:hAnsiTheme="minorEastAsia" w:eastAsiaTheme="minorEastAsia"/>
          <w:b/>
          <w:bCs/>
          <w:color w:val="FF0000"/>
          <w:sz w:val="24"/>
          <w:szCs w:val="24"/>
        </w:rPr>
        <w:t>注：▲参数为重要参数，</w:t>
      </w:r>
      <w:r>
        <w:rPr>
          <w:rFonts w:hint="eastAsia" w:asciiTheme="minorEastAsia" w:hAnsiTheme="minorEastAsia" w:eastAsiaTheme="minorEastAsia"/>
          <w:b/>
          <w:color w:val="FF0000"/>
          <w:sz w:val="24"/>
          <w:szCs w:val="24"/>
        </w:rPr>
        <w:t>投标人必须提供相关证明材料（技术白皮书、彩页、产品说明书或检测报告等），否则按负偏离进行扣分，但</w:t>
      </w:r>
      <w:r>
        <w:rPr>
          <w:rFonts w:hint="eastAsia" w:asciiTheme="minorEastAsia" w:hAnsiTheme="minorEastAsia" w:eastAsiaTheme="minorEastAsia"/>
          <w:b/>
          <w:bCs/>
          <w:color w:val="FF0000"/>
          <w:sz w:val="24"/>
          <w:szCs w:val="24"/>
        </w:rPr>
        <w:t>不作为废标条款。</w:t>
      </w:r>
    </w:p>
    <w:tbl>
      <w:tblPr>
        <w:tblStyle w:val="16"/>
        <w:tblW w:w="84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701"/>
        <w:gridCol w:w="1662"/>
        <w:gridCol w:w="1740"/>
        <w:gridCol w:w="1417"/>
        <w:gridCol w:w="1213"/>
      </w:tblGrid>
      <w:tr w14:paraId="1ADDD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exact"/>
          <w:jc w:val="center"/>
        </w:trPr>
        <w:tc>
          <w:tcPr>
            <w:tcW w:w="705" w:type="dxa"/>
            <w:vAlign w:val="center"/>
          </w:tcPr>
          <w:p w14:paraId="0F93180A">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序号</w:t>
            </w:r>
          </w:p>
        </w:tc>
        <w:tc>
          <w:tcPr>
            <w:tcW w:w="1701" w:type="dxa"/>
            <w:vAlign w:val="center"/>
          </w:tcPr>
          <w:p w14:paraId="0AE2AD05">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货物名称</w:t>
            </w:r>
          </w:p>
        </w:tc>
        <w:tc>
          <w:tcPr>
            <w:tcW w:w="1662" w:type="dxa"/>
            <w:vAlign w:val="center"/>
          </w:tcPr>
          <w:p w14:paraId="4E041AAD">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招标技术要求</w:t>
            </w:r>
          </w:p>
        </w:tc>
        <w:tc>
          <w:tcPr>
            <w:tcW w:w="1740" w:type="dxa"/>
            <w:vAlign w:val="center"/>
          </w:tcPr>
          <w:p w14:paraId="7506D519">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投标技术响应</w:t>
            </w:r>
          </w:p>
        </w:tc>
        <w:tc>
          <w:tcPr>
            <w:tcW w:w="1417" w:type="dxa"/>
            <w:vAlign w:val="center"/>
          </w:tcPr>
          <w:p w14:paraId="0A79E246">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偏离情况</w:t>
            </w:r>
          </w:p>
        </w:tc>
        <w:tc>
          <w:tcPr>
            <w:tcW w:w="1213" w:type="dxa"/>
            <w:vAlign w:val="center"/>
          </w:tcPr>
          <w:p w14:paraId="48CDCCD2">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说明</w:t>
            </w:r>
          </w:p>
        </w:tc>
      </w:tr>
      <w:tr w14:paraId="77486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5" w:type="dxa"/>
          </w:tcPr>
          <w:p w14:paraId="0C500AB3">
            <w:pPr>
              <w:rPr>
                <w:rFonts w:asciiTheme="minorEastAsia" w:hAnsiTheme="minorEastAsia" w:eastAsiaTheme="minorEastAsia"/>
                <w:sz w:val="24"/>
                <w:szCs w:val="24"/>
              </w:rPr>
            </w:pPr>
          </w:p>
        </w:tc>
        <w:tc>
          <w:tcPr>
            <w:tcW w:w="1701" w:type="dxa"/>
          </w:tcPr>
          <w:p w14:paraId="6C5321E3">
            <w:pPr>
              <w:rPr>
                <w:rFonts w:asciiTheme="minorEastAsia" w:hAnsiTheme="minorEastAsia" w:eastAsiaTheme="minorEastAsia"/>
                <w:sz w:val="24"/>
                <w:szCs w:val="24"/>
              </w:rPr>
            </w:pPr>
          </w:p>
        </w:tc>
        <w:tc>
          <w:tcPr>
            <w:tcW w:w="1662" w:type="dxa"/>
          </w:tcPr>
          <w:p w14:paraId="03091588">
            <w:pPr>
              <w:rPr>
                <w:rFonts w:asciiTheme="minorEastAsia" w:hAnsiTheme="minorEastAsia" w:eastAsiaTheme="minorEastAsia"/>
                <w:sz w:val="24"/>
                <w:szCs w:val="24"/>
              </w:rPr>
            </w:pPr>
          </w:p>
        </w:tc>
        <w:tc>
          <w:tcPr>
            <w:tcW w:w="1740" w:type="dxa"/>
          </w:tcPr>
          <w:p w14:paraId="75A35526">
            <w:pPr>
              <w:rPr>
                <w:rFonts w:asciiTheme="minorEastAsia" w:hAnsiTheme="minorEastAsia" w:eastAsiaTheme="minorEastAsia"/>
                <w:sz w:val="24"/>
                <w:szCs w:val="24"/>
              </w:rPr>
            </w:pPr>
          </w:p>
        </w:tc>
        <w:tc>
          <w:tcPr>
            <w:tcW w:w="1417" w:type="dxa"/>
          </w:tcPr>
          <w:p w14:paraId="39997891">
            <w:pPr>
              <w:rPr>
                <w:rFonts w:asciiTheme="minorEastAsia" w:hAnsiTheme="minorEastAsia" w:eastAsiaTheme="minorEastAsia"/>
                <w:sz w:val="24"/>
                <w:szCs w:val="24"/>
              </w:rPr>
            </w:pPr>
          </w:p>
        </w:tc>
        <w:tc>
          <w:tcPr>
            <w:tcW w:w="1213" w:type="dxa"/>
          </w:tcPr>
          <w:p w14:paraId="6704DD79">
            <w:pPr>
              <w:rPr>
                <w:rFonts w:asciiTheme="minorEastAsia" w:hAnsiTheme="minorEastAsia" w:eastAsiaTheme="minorEastAsia"/>
                <w:sz w:val="24"/>
                <w:szCs w:val="24"/>
              </w:rPr>
            </w:pPr>
          </w:p>
        </w:tc>
      </w:tr>
      <w:tr w14:paraId="5306E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5" w:type="dxa"/>
          </w:tcPr>
          <w:p w14:paraId="25BC955D">
            <w:pPr>
              <w:rPr>
                <w:rFonts w:asciiTheme="minorEastAsia" w:hAnsiTheme="minorEastAsia" w:eastAsiaTheme="minorEastAsia"/>
                <w:sz w:val="24"/>
                <w:szCs w:val="24"/>
              </w:rPr>
            </w:pPr>
          </w:p>
        </w:tc>
        <w:tc>
          <w:tcPr>
            <w:tcW w:w="1701" w:type="dxa"/>
          </w:tcPr>
          <w:p w14:paraId="24E8F43E">
            <w:pPr>
              <w:rPr>
                <w:rFonts w:asciiTheme="minorEastAsia" w:hAnsiTheme="minorEastAsia" w:eastAsiaTheme="minorEastAsia"/>
                <w:sz w:val="24"/>
                <w:szCs w:val="24"/>
              </w:rPr>
            </w:pPr>
          </w:p>
        </w:tc>
        <w:tc>
          <w:tcPr>
            <w:tcW w:w="1662" w:type="dxa"/>
          </w:tcPr>
          <w:p w14:paraId="05AE0A26">
            <w:pPr>
              <w:rPr>
                <w:rFonts w:asciiTheme="minorEastAsia" w:hAnsiTheme="minorEastAsia" w:eastAsiaTheme="minorEastAsia"/>
                <w:sz w:val="24"/>
                <w:szCs w:val="24"/>
              </w:rPr>
            </w:pPr>
          </w:p>
        </w:tc>
        <w:tc>
          <w:tcPr>
            <w:tcW w:w="1740" w:type="dxa"/>
          </w:tcPr>
          <w:p w14:paraId="5F0DDF87">
            <w:pPr>
              <w:rPr>
                <w:rFonts w:asciiTheme="minorEastAsia" w:hAnsiTheme="minorEastAsia" w:eastAsiaTheme="minorEastAsia"/>
                <w:sz w:val="24"/>
                <w:szCs w:val="24"/>
              </w:rPr>
            </w:pPr>
          </w:p>
        </w:tc>
        <w:tc>
          <w:tcPr>
            <w:tcW w:w="1417" w:type="dxa"/>
          </w:tcPr>
          <w:p w14:paraId="430833E0">
            <w:pPr>
              <w:rPr>
                <w:rFonts w:asciiTheme="minorEastAsia" w:hAnsiTheme="minorEastAsia" w:eastAsiaTheme="minorEastAsia"/>
                <w:sz w:val="24"/>
                <w:szCs w:val="24"/>
              </w:rPr>
            </w:pPr>
          </w:p>
        </w:tc>
        <w:tc>
          <w:tcPr>
            <w:tcW w:w="1213" w:type="dxa"/>
          </w:tcPr>
          <w:p w14:paraId="3EE81395">
            <w:pPr>
              <w:rPr>
                <w:rFonts w:asciiTheme="minorEastAsia" w:hAnsiTheme="minorEastAsia" w:eastAsiaTheme="minorEastAsia"/>
                <w:sz w:val="24"/>
                <w:szCs w:val="24"/>
              </w:rPr>
            </w:pPr>
          </w:p>
        </w:tc>
      </w:tr>
      <w:tr w14:paraId="0D574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5" w:type="dxa"/>
          </w:tcPr>
          <w:p w14:paraId="759A12E2">
            <w:pPr>
              <w:rPr>
                <w:rFonts w:asciiTheme="minorEastAsia" w:hAnsiTheme="minorEastAsia" w:eastAsiaTheme="minorEastAsia"/>
                <w:sz w:val="24"/>
                <w:szCs w:val="24"/>
              </w:rPr>
            </w:pPr>
          </w:p>
        </w:tc>
        <w:tc>
          <w:tcPr>
            <w:tcW w:w="1701" w:type="dxa"/>
          </w:tcPr>
          <w:p w14:paraId="67A6B6CA">
            <w:pPr>
              <w:rPr>
                <w:rFonts w:asciiTheme="minorEastAsia" w:hAnsiTheme="minorEastAsia" w:eastAsiaTheme="minorEastAsia"/>
                <w:sz w:val="24"/>
                <w:szCs w:val="24"/>
              </w:rPr>
            </w:pPr>
          </w:p>
        </w:tc>
        <w:tc>
          <w:tcPr>
            <w:tcW w:w="1662" w:type="dxa"/>
          </w:tcPr>
          <w:p w14:paraId="50333C40">
            <w:pPr>
              <w:rPr>
                <w:rFonts w:asciiTheme="minorEastAsia" w:hAnsiTheme="minorEastAsia" w:eastAsiaTheme="minorEastAsia"/>
                <w:sz w:val="24"/>
                <w:szCs w:val="24"/>
              </w:rPr>
            </w:pPr>
          </w:p>
        </w:tc>
        <w:tc>
          <w:tcPr>
            <w:tcW w:w="1740" w:type="dxa"/>
          </w:tcPr>
          <w:p w14:paraId="5B9D8FC9">
            <w:pPr>
              <w:rPr>
                <w:rFonts w:asciiTheme="minorEastAsia" w:hAnsiTheme="minorEastAsia" w:eastAsiaTheme="minorEastAsia"/>
                <w:sz w:val="24"/>
                <w:szCs w:val="24"/>
              </w:rPr>
            </w:pPr>
          </w:p>
        </w:tc>
        <w:tc>
          <w:tcPr>
            <w:tcW w:w="1417" w:type="dxa"/>
          </w:tcPr>
          <w:p w14:paraId="7C452FDA">
            <w:pPr>
              <w:rPr>
                <w:rFonts w:asciiTheme="minorEastAsia" w:hAnsiTheme="minorEastAsia" w:eastAsiaTheme="minorEastAsia"/>
                <w:sz w:val="24"/>
                <w:szCs w:val="24"/>
              </w:rPr>
            </w:pPr>
          </w:p>
        </w:tc>
        <w:tc>
          <w:tcPr>
            <w:tcW w:w="1213" w:type="dxa"/>
          </w:tcPr>
          <w:p w14:paraId="4CF6307E">
            <w:pPr>
              <w:rPr>
                <w:rFonts w:asciiTheme="minorEastAsia" w:hAnsiTheme="minorEastAsia" w:eastAsiaTheme="minorEastAsia"/>
                <w:sz w:val="24"/>
                <w:szCs w:val="24"/>
              </w:rPr>
            </w:pPr>
          </w:p>
        </w:tc>
      </w:tr>
      <w:tr w14:paraId="4977D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5" w:type="dxa"/>
          </w:tcPr>
          <w:p w14:paraId="674F700F">
            <w:pPr>
              <w:rPr>
                <w:rFonts w:asciiTheme="minorEastAsia" w:hAnsiTheme="minorEastAsia" w:eastAsiaTheme="minorEastAsia"/>
                <w:sz w:val="24"/>
                <w:szCs w:val="24"/>
              </w:rPr>
            </w:pPr>
          </w:p>
        </w:tc>
        <w:tc>
          <w:tcPr>
            <w:tcW w:w="1701" w:type="dxa"/>
          </w:tcPr>
          <w:p w14:paraId="5F705A5F">
            <w:pPr>
              <w:rPr>
                <w:rFonts w:asciiTheme="minorEastAsia" w:hAnsiTheme="minorEastAsia" w:eastAsiaTheme="minorEastAsia"/>
                <w:sz w:val="24"/>
                <w:szCs w:val="24"/>
              </w:rPr>
            </w:pPr>
          </w:p>
        </w:tc>
        <w:tc>
          <w:tcPr>
            <w:tcW w:w="1662" w:type="dxa"/>
          </w:tcPr>
          <w:p w14:paraId="4ED4957C">
            <w:pPr>
              <w:rPr>
                <w:rFonts w:asciiTheme="minorEastAsia" w:hAnsiTheme="minorEastAsia" w:eastAsiaTheme="minorEastAsia"/>
                <w:sz w:val="24"/>
                <w:szCs w:val="24"/>
              </w:rPr>
            </w:pPr>
          </w:p>
        </w:tc>
        <w:tc>
          <w:tcPr>
            <w:tcW w:w="1740" w:type="dxa"/>
          </w:tcPr>
          <w:p w14:paraId="0AEFD00C">
            <w:pPr>
              <w:rPr>
                <w:rFonts w:asciiTheme="minorEastAsia" w:hAnsiTheme="minorEastAsia" w:eastAsiaTheme="minorEastAsia"/>
                <w:sz w:val="24"/>
                <w:szCs w:val="24"/>
              </w:rPr>
            </w:pPr>
          </w:p>
        </w:tc>
        <w:tc>
          <w:tcPr>
            <w:tcW w:w="1417" w:type="dxa"/>
          </w:tcPr>
          <w:p w14:paraId="0ABA9A96">
            <w:pPr>
              <w:rPr>
                <w:rFonts w:asciiTheme="minorEastAsia" w:hAnsiTheme="minorEastAsia" w:eastAsiaTheme="minorEastAsia"/>
                <w:sz w:val="24"/>
                <w:szCs w:val="24"/>
              </w:rPr>
            </w:pPr>
          </w:p>
        </w:tc>
        <w:tc>
          <w:tcPr>
            <w:tcW w:w="1213" w:type="dxa"/>
          </w:tcPr>
          <w:p w14:paraId="60139A65">
            <w:pPr>
              <w:rPr>
                <w:rFonts w:asciiTheme="minorEastAsia" w:hAnsiTheme="minorEastAsia" w:eastAsiaTheme="minorEastAsia"/>
                <w:sz w:val="24"/>
                <w:szCs w:val="24"/>
              </w:rPr>
            </w:pPr>
          </w:p>
        </w:tc>
      </w:tr>
      <w:tr w14:paraId="6118A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5" w:type="dxa"/>
          </w:tcPr>
          <w:p w14:paraId="005C7E7F">
            <w:pPr>
              <w:rPr>
                <w:rFonts w:asciiTheme="minorEastAsia" w:hAnsiTheme="minorEastAsia" w:eastAsiaTheme="minorEastAsia"/>
                <w:sz w:val="24"/>
                <w:szCs w:val="24"/>
              </w:rPr>
            </w:pPr>
          </w:p>
        </w:tc>
        <w:tc>
          <w:tcPr>
            <w:tcW w:w="1701" w:type="dxa"/>
          </w:tcPr>
          <w:p w14:paraId="2D05D4CB">
            <w:pPr>
              <w:rPr>
                <w:rFonts w:asciiTheme="minorEastAsia" w:hAnsiTheme="minorEastAsia" w:eastAsiaTheme="minorEastAsia"/>
                <w:sz w:val="24"/>
                <w:szCs w:val="24"/>
              </w:rPr>
            </w:pPr>
          </w:p>
        </w:tc>
        <w:tc>
          <w:tcPr>
            <w:tcW w:w="1662" w:type="dxa"/>
          </w:tcPr>
          <w:p w14:paraId="5F31587C">
            <w:pPr>
              <w:rPr>
                <w:rFonts w:asciiTheme="minorEastAsia" w:hAnsiTheme="minorEastAsia" w:eastAsiaTheme="minorEastAsia"/>
                <w:sz w:val="24"/>
                <w:szCs w:val="24"/>
              </w:rPr>
            </w:pPr>
          </w:p>
        </w:tc>
        <w:tc>
          <w:tcPr>
            <w:tcW w:w="1740" w:type="dxa"/>
          </w:tcPr>
          <w:p w14:paraId="67C351FB">
            <w:pPr>
              <w:rPr>
                <w:rFonts w:asciiTheme="minorEastAsia" w:hAnsiTheme="minorEastAsia" w:eastAsiaTheme="minorEastAsia"/>
                <w:sz w:val="24"/>
                <w:szCs w:val="24"/>
              </w:rPr>
            </w:pPr>
          </w:p>
        </w:tc>
        <w:tc>
          <w:tcPr>
            <w:tcW w:w="1417" w:type="dxa"/>
          </w:tcPr>
          <w:p w14:paraId="7D456900">
            <w:pPr>
              <w:rPr>
                <w:rFonts w:asciiTheme="minorEastAsia" w:hAnsiTheme="minorEastAsia" w:eastAsiaTheme="minorEastAsia"/>
                <w:sz w:val="24"/>
                <w:szCs w:val="24"/>
              </w:rPr>
            </w:pPr>
          </w:p>
        </w:tc>
        <w:tc>
          <w:tcPr>
            <w:tcW w:w="1213" w:type="dxa"/>
          </w:tcPr>
          <w:p w14:paraId="68E31A15">
            <w:pPr>
              <w:rPr>
                <w:rFonts w:asciiTheme="minorEastAsia" w:hAnsiTheme="minorEastAsia" w:eastAsiaTheme="minorEastAsia"/>
                <w:sz w:val="24"/>
                <w:szCs w:val="24"/>
              </w:rPr>
            </w:pPr>
          </w:p>
        </w:tc>
      </w:tr>
      <w:tr w14:paraId="019F6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5" w:type="dxa"/>
          </w:tcPr>
          <w:p w14:paraId="5739133D">
            <w:pPr>
              <w:rPr>
                <w:rFonts w:asciiTheme="minorEastAsia" w:hAnsiTheme="minorEastAsia" w:eastAsiaTheme="minorEastAsia"/>
                <w:sz w:val="24"/>
                <w:szCs w:val="24"/>
              </w:rPr>
            </w:pPr>
          </w:p>
        </w:tc>
        <w:tc>
          <w:tcPr>
            <w:tcW w:w="1701" w:type="dxa"/>
          </w:tcPr>
          <w:p w14:paraId="56CB0A09">
            <w:pPr>
              <w:rPr>
                <w:rFonts w:asciiTheme="minorEastAsia" w:hAnsiTheme="minorEastAsia" w:eastAsiaTheme="minorEastAsia"/>
                <w:sz w:val="24"/>
                <w:szCs w:val="24"/>
              </w:rPr>
            </w:pPr>
          </w:p>
        </w:tc>
        <w:tc>
          <w:tcPr>
            <w:tcW w:w="1662" w:type="dxa"/>
          </w:tcPr>
          <w:p w14:paraId="038A5222">
            <w:pPr>
              <w:rPr>
                <w:rFonts w:asciiTheme="minorEastAsia" w:hAnsiTheme="minorEastAsia" w:eastAsiaTheme="minorEastAsia"/>
                <w:sz w:val="24"/>
                <w:szCs w:val="24"/>
              </w:rPr>
            </w:pPr>
          </w:p>
        </w:tc>
        <w:tc>
          <w:tcPr>
            <w:tcW w:w="1740" w:type="dxa"/>
          </w:tcPr>
          <w:p w14:paraId="7BEEC81E">
            <w:pPr>
              <w:rPr>
                <w:rFonts w:asciiTheme="minorEastAsia" w:hAnsiTheme="minorEastAsia" w:eastAsiaTheme="minorEastAsia"/>
                <w:sz w:val="24"/>
                <w:szCs w:val="24"/>
              </w:rPr>
            </w:pPr>
          </w:p>
        </w:tc>
        <w:tc>
          <w:tcPr>
            <w:tcW w:w="1417" w:type="dxa"/>
          </w:tcPr>
          <w:p w14:paraId="0591FE68">
            <w:pPr>
              <w:rPr>
                <w:rFonts w:asciiTheme="minorEastAsia" w:hAnsiTheme="minorEastAsia" w:eastAsiaTheme="minorEastAsia"/>
                <w:sz w:val="24"/>
                <w:szCs w:val="24"/>
              </w:rPr>
            </w:pPr>
          </w:p>
        </w:tc>
        <w:tc>
          <w:tcPr>
            <w:tcW w:w="1213" w:type="dxa"/>
          </w:tcPr>
          <w:p w14:paraId="7D518C67">
            <w:pPr>
              <w:rPr>
                <w:rFonts w:asciiTheme="minorEastAsia" w:hAnsiTheme="minorEastAsia" w:eastAsiaTheme="minorEastAsia"/>
                <w:sz w:val="24"/>
                <w:szCs w:val="24"/>
              </w:rPr>
            </w:pPr>
          </w:p>
        </w:tc>
      </w:tr>
    </w:tbl>
    <w:p w14:paraId="2EECA339">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提示：</w:t>
      </w:r>
    </w:p>
    <w:p w14:paraId="5C3A9FB5">
      <w:pPr>
        <w:numPr>
          <w:ilvl w:val="0"/>
          <w:numId w:val="0"/>
        </w:numPr>
        <w:spacing w:line="360" w:lineRule="auto"/>
        <w:rPr>
          <w:rFonts w:hint="eastAsia" w:asciiTheme="minorEastAsia" w:hAnsiTheme="minorEastAsia" w:eastAsiaTheme="minorEastAsia"/>
          <w:sz w:val="24"/>
          <w:szCs w:val="24"/>
        </w:rPr>
      </w:pPr>
      <w:r>
        <w:rPr>
          <w:rFonts w:hint="eastAsia" w:cs="Times New Roman" w:asciiTheme="minorEastAsia" w:hAnsiTheme="minorEastAsia" w:eastAsiaTheme="minorEastAsia"/>
          <w:kern w:val="2"/>
          <w:sz w:val="24"/>
          <w:szCs w:val="24"/>
          <w:lang w:val="en-US" w:eastAsia="zh-CN" w:bidi="ar-SA"/>
        </w:rPr>
        <w:t>1、</w:t>
      </w:r>
      <w:r>
        <w:rPr>
          <w:rFonts w:hint="eastAsia" w:asciiTheme="minorEastAsia" w:hAnsiTheme="minorEastAsia" w:eastAsiaTheme="minorEastAsia"/>
          <w:sz w:val="24"/>
          <w:szCs w:val="24"/>
        </w:rPr>
        <w:t>“招标技术要求”一栏应填写招标文件“三、具体技术要求”的内容。</w:t>
      </w:r>
    </w:p>
    <w:p w14:paraId="079D036C">
      <w:pPr>
        <w:numPr>
          <w:ilvl w:val="0"/>
          <w:numId w:val="0"/>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2、“投标技术响应”一栏必须详细填写投标产品的具体参数，并应对照招标技术要求一一对应响应。</w:t>
      </w:r>
    </w:p>
    <w:p w14:paraId="17F11DB4">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3、“偏离情况”一栏应如实填写“正偏离”、“负偏离”或“无偏离”。</w:t>
      </w:r>
    </w:p>
    <w:p w14:paraId="2F8CBFBC">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4、投标产品的技术参数应尽可能提供相应的证明资料，以证明投标人响应的真实性。证明资料包括制造商公布的产品说明书、产品彩页和我国政府机构出具的产品检验和核准证件等。投标人应在“说明”一栏中列出技术参数的证明资料名称，并指明该证明资料在投标文件中的具体位置。</w:t>
      </w:r>
    </w:p>
    <w:p w14:paraId="6341340D">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5、证明资料要求（可提交复印件）：</w:t>
      </w:r>
    </w:p>
    <w:p w14:paraId="684B8E51">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1）产品说明书或彩页应为制造商公布或出具的中文产品说明书或彩页；提供外文说明书或彩页的，须同时提供对应中文翻译说明，评标依据以中文翻译内容为准，外文说明书或彩页仅供参考；产品说明书或彩页的尺寸和清晰度应该能够被阅读、识别和判断；</w:t>
      </w:r>
    </w:p>
    <w:p w14:paraId="4175728F">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（2）我国政府机构出具的产品检验和核准证件应为证件正面、背面和附件标注的全部具体内容；产品检验和核准证件的尺寸和清晰度应该能够被阅读、识别和判断。</w:t>
      </w:r>
    </w:p>
    <w:p w14:paraId="317C95FD">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未达到以上提供要求的，评审小组有权认定为不合格响应，其相关分数予以扣减或作废标处理。</w:t>
      </w:r>
    </w:p>
    <w:p w14:paraId="37BBBF05">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6、评审小组有权对以谋取中标为目的的技术规格模糊响应（如有意照搬照抄招标文件的技术要求）或虚假响应予以认定，并视情况报医院相关监督管理部门予以处罚。</w:t>
      </w:r>
    </w:p>
    <w:p w14:paraId="14DB99A9">
      <w:pPr>
        <w:rPr>
          <w:rFonts w:hint="eastAsia" w:asciiTheme="minorEastAsia" w:hAnsiTheme="minorEastAsia" w:eastAsiaTheme="minorEastAsia"/>
          <w:b/>
          <w:bCs/>
          <w:sz w:val="24"/>
          <w:szCs w:val="24"/>
        </w:rPr>
      </w:pPr>
      <w:bookmarkStart w:id="23" w:name="_Toc313109527"/>
      <w:r>
        <w:rPr>
          <w:rFonts w:hint="eastAsia" w:asciiTheme="minorEastAsia" w:hAnsiTheme="minorEastAsia" w:eastAsiaTheme="minorEastAsia"/>
          <w:b/>
          <w:bCs/>
          <w:sz w:val="24"/>
          <w:szCs w:val="24"/>
        </w:rPr>
        <w:br w:type="page"/>
      </w:r>
    </w:p>
    <w:p w14:paraId="7DF07D7E">
      <w:pPr>
        <w:spacing w:line="360" w:lineRule="auto"/>
        <w:jc w:val="center"/>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四、商务需求偏离表</w:t>
      </w:r>
      <w:bookmarkEnd w:id="23"/>
    </w:p>
    <w:p w14:paraId="6C3FA317">
      <w:pPr>
        <w:pStyle w:val="26"/>
        <w:jc w:val="left"/>
        <w:rPr>
          <w:rFonts w:asciiTheme="minorEastAsia" w:hAnsiTheme="minorEastAsia" w:eastAsiaTheme="minorEastAsia"/>
          <w:sz w:val="24"/>
          <w:szCs w:val="24"/>
        </w:rPr>
      </w:pPr>
    </w:p>
    <w:tbl>
      <w:tblPr>
        <w:tblStyle w:val="16"/>
        <w:tblpPr w:leftFromText="180" w:rightFromText="180" w:vertAnchor="text" w:tblpY="1"/>
        <w:tblOverlap w:val="never"/>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080"/>
        <w:gridCol w:w="1980"/>
        <w:gridCol w:w="1980"/>
        <w:gridCol w:w="1440"/>
        <w:gridCol w:w="1620"/>
      </w:tblGrid>
      <w:tr w14:paraId="2007E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vAlign w:val="center"/>
          </w:tcPr>
          <w:p w14:paraId="422B44CC">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序号</w:t>
            </w:r>
          </w:p>
        </w:tc>
        <w:tc>
          <w:tcPr>
            <w:tcW w:w="1080" w:type="dxa"/>
            <w:vAlign w:val="center"/>
          </w:tcPr>
          <w:p w14:paraId="460C8336">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目录</w:t>
            </w:r>
          </w:p>
        </w:tc>
        <w:tc>
          <w:tcPr>
            <w:tcW w:w="1980" w:type="dxa"/>
            <w:vAlign w:val="center"/>
          </w:tcPr>
          <w:p w14:paraId="5F79A1EB">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招标商务条款</w:t>
            </w:r>
          </w:p>
        </w:tc>
        <w:tc>
          <w:tcPr>
            <w:tcW w:w="1980" w:type="dxa"/>
            <w:vAlign w:val="center"/>
          </w:tcPr>
          <w:p w14:paraId="56021001">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投标商务条款</w:t>
            </w:r>
          </w:p>
        </w:tc>
        <w:tc>
          <w:tcPr>
            <w:tcW w:w="1440" w:type="dxa"/>
            <w:vAlign w:val="center"/>
          </w:tcPr>
          <w:p w14:paraId="29825395">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偏离情况</w:t>
            </w:r>
          </w:p>
        </w:tc>
        <w:tc>
          <w:tcPr>
            <w:tcW w:w="1620" w:type="dxa"/>
            <w:vAlign w:val="center"/>
          </w:tcPr>
          <w:p w14:paraId="2C8C6C8C">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说明</w:t>
            </w:r>
          </w:p>
        </w:tc>
      </w:tr>
      <w:tr w14:paraId="7CB4C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928" w:type="dxa"/>
            <w:gridSpan w:val="6"/>
          </w:tcPr>
          <w:p w14:paraId="7013BBC2">
            <w:pPr>
              <w:rPr>
                <w:rFonts w:asciiTheme="minorEastAsia" w:hAnsiTheme="minorEastAsia" w:eastAsiaTheme="minorEastAsia"/>
                <w:sz w:val="24"/>
                <w:szCs w:val="24"/>
              </w:rPr>
            </w:pPr>
            <w:r>
              <w:rPr>
                <w:rFonts w:hint="eastAsia" w:asciiTheme="minorEastAsia" w:hAnsiTheme="minorEastAsia" w:eastAsiaTheme="minorEastAsia"/>
                <w:sz w:val="24"/>
                <w:szCs w:val="24"/>
              </w:rPr>
              <w:t>（一）免费保修期内售后服务条款偏离表</w:t>
            </w:r>
          </w:p>
        </w:tc>
      </w:tr>
      <w:tr w14:paraId="1B381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14:paraId="083204D0">
            <w:pP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1080" w:type="dxa"/>
          </w:tcPr>
          <w:p w14:paraId="6BB57173">
            <w:pPr>
              <w:rPr>
                <w:rFonts w:asciiTheme="minorEastAsia" w:hAnsiTheme="minorEastAsia" w:eastAsiaTheme="minorEastAsia"/>
                <w:sz w:val="24"/>
                <w:szCs w:val="24"/>
              </w:rPr>
            </w:pPr>
          </w:p>
        </w:tc>
        <w:tc>
          <w:tcPr>
            <w:tcW w:w="1980" w:type="dxa"/>
          </w:tcPr>
          <w:p w14:paraId="2576BE53">
            <w:pPr>
              <w:rPr>
                <w:rFonts w:asciiTheme="minorEastAsia" w:hAnsiTheme="minorEastAsia" w:eastAsiaTheme="minorEastAsia"/>
                <w:sz w:val="24"/>
                <w:szCs w:val="24"/>
              </w:rPr>
            </w:pPr>
          </w:p>
        </w:tc>
        <w:tc>
          <w:tcPr>
            <w:tcW w:w="1980" w:type="dxa"/>
          </w:tcPr>
          <w:p w14:paraId="56C60562">
            <w:pPr>
              <w:rPr>
                <w:rFonts w:asciiTheme="minorEastAsia" w:hAnsiTheme="minorEastAsia" w:eastAsiaTheme="minorEastAsia"/>
                <w:sz w:val="24"/>
                <w:szCs w:val="24"/>
              </w:rPr>
            </w:pPr>
          </w:p>
        </w:tc>
        <w:tc>
          <w:tcPr>
            <w:tcW w:w="1440" w:type="dxa"/>
          </w:tcPr>
          <w:p w14:paraId="59A1839C">
            <w:pPr>
              <w:rPr>
                <w:rFonts w:asciiTheme="minorEastAsia" w:hAnsiTheme="minorEastAsia" w:eastAsiaTheme="minorEastAsia"/>
                <w:sz w:val="24"/>
                <w:szCs w:val="24"/>
              </w:rPr>
            </w:pPr>
          </w:p>
        </w:tc>
        <w:tc>
          <w:tcPr>
            <w:tcW w:w="1620" w:type="dxa"/>
          </w:tcPr>
          <w:p w14:paraId="3A538649">
            <w:pPr>
              <w:rPr>
                <w:rFonts w:asciiTheme="minorEastAsia" w:hAnsiTheme="minorEastAsia" w:eastAsiaTheme="minorEastAsia"/>
                <w:sz w:val="24"/>
                <w:szCs w:val="24"/>
              </w:rPr>
            </w:pPr>
          </w:p>
        </w:tc>
      </w:tr>
      <w:tr w14:paraId="37C1E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14:paraId="117BD8E9">
            <w:pPr>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1080" w:type="dxa"/>
          </w:tcPr>
          <w:p w14:paraId="64238A35">
            <w:pPr>
              <w:rPr>
                <w:rFonts w:asciiTheme="minorEastAsia" w:hAnsiTheme="minorEastAsia" w:eastAsiaTheme="minorEastAsia"/>
                <w:sz w:val="24"/>
                <w:szCs w:val="24"/>
              </w:rPr>
            </w:pPr>
          </w:p>
        </w:tc>
        <w:tc>
          <w:tcPr>
            <w:tcW w:w="1980" w:type="dxa"/>
          </w:tcPr>
          <w:p w14:paraId="7341FCD7">
            <w:pPr>
              <w:rPr>
                <w:rFonts w:asciiTheme="minorEastAsia" w:hAnsiTheme="minorEastAsia" w:eastAsiaTheme="minorEastAsia"/>
                <w:sz w:val="24"/>
                <w:szCs w:val="24"/>
              </w:rPr>
            </w:pPr>
          </w:p>
        </w:tc>
        <w:tc>
          <w:tcPr>
            <w:tcW w:w="1980" w:type="dxa"/>
          </w:tcPr>
          <w:p w14:paraId="14D62FA7">
            <w:pPr>
              <w:rPr>
                <w:rFonts w:asciiTheme="minorEastAsia" w:hAnsiTheme="minorEastAsia" w:eastAsiaTheme="minorEastAsia"/>
                <w:sz w:val="24"/>
                <w:szCs w:val="24"/>
              </w:rPr>
            </w:pPr>
          </w:p>
        </w:tc>
        <w:tc>
          <w:tcPr>
            <w:tcW w:w="1440" w:type="dxa"/>
          </w:tcPr>
          <w:p w14:paraId="36C563EE">
            <w:pPr>
              <w:rPr>
                <w:rFonts w:asciiTheme="minorEastAsia" w:hAnsiTheme="minorEastAsia" w:eastAsiaTheme="minorEastAsia"/>
                <w:sz w:val="24"/>
                <w:szCs w:val="24"/>
              </w:rPr>
            </w:pPr>
          </w:p>
        </w:tc>
        <w:tc>
          <w:tcPr>
            <w:tcW w:w="1620" w:type="dxa"/>
          </w:tcPr>
          <w:p w14:paraId="0A378EEC">
            <w:pPr>
              <w:rPr>
                <w:rFonts w:asciiTheme="minorEastAsia" w:hAnsiTheme="minorEastAsia" w:eastAsiaTheme="minorEastAsia"/>
                <w:sz w:val="24"/>
                <w:szCs w:val="24"/>
              </w:rPr>
            </w:pPr>
          </w:p>
        </w:tc>
      </w:tr>
      <w:tr w14:paraId="12F25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14:paraId="6FFA5251">
            <w:pP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080" w:type="dxa"/>
          </w:tcPr>
          <w:p w14:paraId="3CD926C0">
            <w:pPr>
              <w:rPr>
                <w:rFonts w:asciiTheme="minorEastAsia" w:hAnsiTheme="minorEastAsia" w:eastAsiaTheme="minorEastAsia"/>
                <w:sz w:val="24"/>
                <w:szCs w:val="24"/>
              </w:rPr>
            </w:pPr>
          </w:p>
        </w:tc>
        <w:tc>
          <w:tcPr>
            <w:tcW w:w="1980" w:type="dxa"/>
          </w:tcPr>
          <w:p w14:paraId="6FE7549B">
            <w:pPr>
              <w:rPr>
                <w:rFonts w:asciiTheme="minorEastAsia" w:hAnsiTheme="minorEastAsia" w:eastAsiaTheme="minorEastAsia"/>
                <w:sz w:val="24"/>
                <w:szCs w:val="24"/>
              </w:rPr>
            </w:pPr>
          </w:p>
        </w:tc>
        <w:tc>
          <w:tcPr>
            <w:tcW w:w="1980" w:type="dxa"/>
          </w:tcPr>
          <w:p w14:paraId="08C22A40">
            <w:pPr>
              <w:rPr>
                <w:rFonts w:asciiTheme="minorEastAsia" w:hAnsiTheme="minorEastAsia" w:eastAsiaTheme="minorEastAsia"/>
                <w:sz w:val="24"/>
                <w:szCs w:val="24"/>
              </w:rPr>
            </w:pPr>
          </w:p>
        </w:tc>
        <w:tc>
          <w:tcPr>
            <w:tcW w:w="1440" w:type="dxa"/>
          </w:tcPr>
          <w:p w14:paraId="3B24876A">
            <w:pPr>
              <w:rPr>
                <w:rFonts w:asciiTheme="minorEastAsia" w:hAnsiTheme="minorEastAsia" w:eastAsiaTheme="minorEastAsia"/>
                <w:sz w:val="24"/>
                <w:szCs w:val="24"/>
              </w:rPr>
            </w:pPr>
          </w:p>
        </w:tc>
        <w:tc>
          <w:tcPr>
            <w:tcW w:w="1620" w:type="dxa"/>
          </w:tcPr>
          <w:p w14:paraId="456AE550">
            <w:pPr>
              <w:rPr>
                <w:rFonts w:asciiTheme="minorEastAsia" w:hAnsiTheme="minorEastAsia" w:eastAsiaTheme="minorEastAsia"/>
                <w:sz w:val="24"/>
                <w:szCs w:val="24"/>
              </w:rPr>
            </w:pPr>
          </w:p>
        </w:tc>
      </w:tr>
      <w:tr w14:paraId="1DB3D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928" w:type="dxa"/>
            <w:gridSpan w:val="6"/>
          </w:tcPr>
          <w:p w14:paraId="348AFBFC">
            <w:pPr>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val="en-US" w:eastAsia="zh-CN"/>
              </w:rPr>
              <w:t>二</w:t>
            </w:r>
            <w:r>
              <w:rPr>
                <w:rFonts w:hint="eastAsia" w:asciiTheme="minorEastAsia" w:hAnsiTheme="minorEastAsia" w:eastAsiaTheme="minorEastAsia"/>
                <w:sz w:val="24"/>
                <w:szCs w:val="24"/>
              </w:rPr>
              <w:t>）免费保修期外售后服务条款偏离表</w:t>
            </w:r>
          </w:p>
        </w:tc>
      </w:tr>
      <w:tr w14:paraId="6E640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14:paraId="1B4B5D86">
            <w:pP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1080" w:type="dxa"/>
          </w:tcPr>
          <w:p w14:paraId="12273DD8">
            <w:pPr>
              <w:rPr>
                <w:rFonts w:asciiTheme="minorEastAsia" w:hAnsiTheme="minorEastAsia" w:eastAsiaTheme="minorEastAsia"/>
                <w:sz w:val="24"/>
                <w:szCs w:val="24"/>
              </w:rPr>
            </w:pPr>
          </w:p>
        </w:tc>
        <w:tc>
          <w:tcPr>
            <w:tcW w:w="1980" w:type="dxa"/>
          </w:tcPr>
          <w:p w14:paraId="142792F6">
            <w:pPr>
              <w:rPr>
                <w:rFonts w:asciiTheme="minorEastAsia" w:hAnsiTheme="minorEastAsia" w:eastAsiaTheme="minorEastAsia"/>
                <w:sz w:val="24"/>
                <w:szCs w:val="24"/>
              </w:rPr>
            </w:pPr>
          </w:p>
        </w:tc>
        <w:tc>
          <w:tcPr>
            <w:tcW w:w="1980" w:type="dxa"/>
          </w:tcPr>
          <w:p w14:paraId="3E245D3E">
            <w:pPr>
              <w:rPr>
                <w:rFonts w:asciiTheme="minorEastAsia" w:hAnsiTheme="minorEastAsia" w:eastAsiaTheme="minorEastAsia"/>
                <w:sz w:val="24"/>
                <w:szCs w:val="24"/>
              </w:rPr>
            </w:pPr>
          </w:p>
        </w:tc>
        <w:tc>
          <w:tcPr>
            <w:tcW w:w="1440" w:type="dxa"/>
          </w:tcPr>
          <w:p w14:paraId="2DECF8E6">
            <w:pPr>
              <w:rPr>
                <w:rFonts w:asciiTheme="minorEastAsia" w:hAnsiTheme="minorEastAsia" w:eastAsiaTheme="minorEastAsia"/>
                <w:sz w:val="24"/>
                <w:szCs w:val="24"/>
              </w:rPr>
            </w:pPr>
          </w:p>
        </w:tc>
        <w:tc>
          <w:tcPr>
            <w:tcW w:w="1620" w:type="dxa"/>
          </w:tcPr>
          <w:p w14:paraId="61675AFA">
            <w:pPr>
              <w:rPr>
                <w:rFonts w:asciiTheme="minorEastAsia" w:hAnsiTheme="minorEastAsia" w:eastAsiaTheme="minorEastAsia"/>
                <w:sz w:val="24"/>
                <w:szCs w:val="24"/>
              </w:rPr>
            </w:pPr>
          </w:p>
        </w:tc>
      </w:tr>
      <w:tr w14:paraId="010BA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14:paraId="77B2D042">
            <w:pPr>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1080" w:type="dxa"/>
          </w:tcPr>
          <w:p w14:paraId="7F7F2B54">
            <w:pPr>
              <w:rPr>
                <w:rFonts w:asciiTheme="minorEastAsia" w:hAnsiTheme="minorEastAsia" w:eastAsiaTheme="minorEastAsia"/>
                <w:sz w:val="24"/>
                <w:szCs w:val="24"/>
              </w:rPr>
            </w:pPr>
          </w:p>
        </w:tc>
        <w:tc>
          <w:tcPr>
            <w:tcW w:w="1980" w:type="dxa"/>
          </w:tcPr>
          <w:p w14:paraId="08D2CDB6">
            <w:pPr>
              <w:rPr>
                <w:rFonts w:asciiTheme="minorEastAsia" w:hAnsiTheme="minorEastAsia" w:eastAsiaTheme="minorEastAsia"/>
                <w:sz w:val="24"/>
                <w:szCs w:val="24"/>
              </w:rPr>
            </w:pPr>
          </w:p>
        </w:tc>
        <w:tc>
          <w:tcPr>
            <w:tcW w:w="1980" w:type="dxa"/>
          </w:tcPr>
          <w:p w14:paraId="68C70D8F">
            <w:pPr>
              <w:rPr>
                <w:rFonts w:asciiTheme="minorEastAsia" w:hAnsiTheme="minorEastAsia" w:eastAsiaTheme="minorEastAsia"/>
                <w:sz w:val="24"/>
                <w:szCs w:val="24"/>
              </w:rPr>
            </w:pPr>
          </w:p>
        </w:tc>
        <w:tc>
          <w:tcPr>
            <w:tcW w:w="1440" w:type="dxa"/>
          </w:tcPr>
          <w:p w14:paraId="785B69B9">
            <w:pPr>
              <w:rPr>
                <w:rFonts w:asciiTheme="minorEastAsia" w:hAnsiTheme="minorEastAsia" w:eastAsiaTheme="minorEastAsia"/>
                <w:sz w:val="24"/>
                <w:szCs w:val="24"/>
              </w:rPr>
            </w:pPr>
          </w:p>
        </w:tc>
        <w:tc>
          <w:tcPr>
            <w:tcW w:w="1620" w:type="dxa"/>
          </w:tcPr>
          <w:p w14:paraId="76F1E80E">
            <w:pPr>
              <w:rPr>
                <w:rFonts w:asciiTheme="minorEastAsia" w:hAnsiTheme="minorEastAsia" w:eastAsiaTheme="minorEastAsia"/>
                <w:sz w:val="24"/>
                <w:szCs w:val="24"/>
              </w:rPr>
            </w:pPr>
          </w:p>
        </w:tc>
      </w:tr>
      <w:tr w14:paraId="7451F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14:paraId="2B4482D8">
            <w:pP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080" w:type="dxa"/>
          </w:tcPr>
          <w:p w14:paraId="740C8871">
            <w:pPr>
              <w:rPr>
                <w:rFonts w:asciiTheme="minorEastAsia" w:hAnsiTheme="minorEastAsia" w:eastAsiaTheme="minorEastAsia"/>
                <w:sz w:val="24"/>
                <w:szCs w:val="24"/>
              </w:rPr>
            </w:pPr>
          </w:p>
        </w:tc>
        <w:tc>
          <w:tcPr>
            <w:tcW w:w="1980" w:type="dxa"/>
          </w:tcPr>
          <w:p w14:paraId="49CA5F86">
            <w:pPr>
              <w:rPr>
                <w:rFonts w:asciiTheme="minorEastAsia" w:hAnsiTheme="minorEastAsia" w:eastAsiaTheme="minorEastAsia"/>
                <w:sz w:val="24"/>
                <w:szCs w:val="24"/>
              </w:rPr>
            </w:pPr>
          </w:p>
        </w:tc>
        <w:tc>
          <w:tcPr>
            <w:tcW w:w="1980" w:type="dxa"/>
          </w:tcPr>
          <w:p w14:paraId="267FD319">
            <w:pPr>
              <w:rPr>
                <w:rFonts w:asciiTheme="minorEastAsia" w:hAnsiTheme="minorEastAsia" w:eastAsiaTheme="minorEastAsia"/>
                <w:sz w:val="24"/>
                <w:szCs w:val="24"/>
              </w:rPr>
            </w:pPr>
          </w:p>
        </w:tc>
        <w:tc>
          <w:tcPr>
            <w:tcW w:w="1440" w:type="dxa"/>
          </w:tcPr>
          <w:p w14:paraId="2D94BD82">
            <w:pPr>
              <w:rPr>
                <w:rFonts w:asciiTheme="minorEastAsia" w:hAnsiTheme="minorEastAsia" w:eastAsiaTheme="minorEastAsia"/>
                <w:sz w:val="24"/>
                <w:szCs w:val="24"/>
              </w:rPr>
            </w:pPr>
          </w:p>
        </w:tc>
        <w:tc>
          <w:tcPr>
            <w:tcW w:w="1620" w:type="dxa"/>
          </w:tcPr>
          <w:p w14:paraId="0E7AA576">
            <w:pPr>
              <w:rPr>
                <w:rFonts w:asciiTheme="minorEastAsia" w:hAnsiTheme="minorEastAsia" w:eastAsiaTheme="minorEastAsia"/>
                <w:sz w:val="24"/>
                <w:szCs w:val="24"/>
              </w:rPr>
            </w:pPr>
          </w:p>
        </w:tc>
      </w:tr>
      <w:tr w14:paraId="5D53F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928" w:type="dxa"/>
            <w:gridSpan w:val="6"/>
          </w:tcPr>
          <w:p w14:paraId="6C92DAFD">
            <w:pPr>
              <w:rPr>
                <w:rFonts w:asciiTheme="minorEastAsia" w:hAnsiTheme="minorEastAsia" w:eastAsiaTheme="minorEastAsia"/>
                <w:sz w:val="24"/>
                <w:szCs w:val="24"/>
              </w:rPr>
            </w:pPr>
            <w:r>
              <w:rPr>
                <w:rFonts w:hint="eastAsia" w:asciiTheme="minorEastAsia" w:hAnsiTheme="minorEastAsia" w:eastAsiaTheme="minorEastAsia"/>
                <w:sz w:val="24"/>
                <w:szCs w:val="24"/>
              </w:rPr>
              <w:t>（三）其他商务条款偏离表</w:t>
            </w:r>
          </w:p>
        </w:tc>
      </w:tr>
      <w:tr w14:paraId="151D3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14:paraId="453D32E5">
            <w:pP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1080" w:type="dxa"/>
          </w:tcPr>
          <w:p w14:paraId="1C9FD9CC">
            <w:pPr>
              <w:rPr>
                <w:rFonts w:asciiTheme="minorEastAsia" w:hAnsiTheme="minorEastAsia" w:eastAsiaTheme="minorEastAsia"/>
                <w:sz w:val="24"/>
                <w:szCs w:val="24"/>
              </w:rPr>
            </w:pPr>
          </w:p>
        </w:tc>
        <w:tc>
          <w:tcPr>
            <w:tcW w:w="1980" w:type="dxa"/>
          </w:tcPr>
          <w:p w14:paraId="7C3283B7">
            <w:pPr>
              <w:rPr>
                <w:rFonts w:asciiTheme="minorEastAsia" w:hAnsiTheme="minorEastAsia" w:eastAsiaTheme="minorEastAsia"/>
                <w:sz w:val="24"/>
                <w:szCs w:val="24"/>
              </w:rPr>
            </w:pPr>
          </w:p>
        </w:tc>
        <w:tc>
          <w:tcPr>
            <w:tcW w:w="1980" w:type="dxa"/>
          </w:tcPr>
          <w:p w14:paraId="551EF94C">
            <w:pPr>
              <w:rPr>
                <w:rFonts w:asciiTheme="minorEastAsia" w:hAnsiTheme="minorEastAsia" w:eastAsiaTheme="minorEastAsia"/>
                <w:sz w:val="24"/>
                <w:szCs w:val="24"/>
              </w:rPr>
            </w:pPr>
          </w:p>
        </w:tc>
        <w:tc>
          <w:tcPr>
            <w:tcW w:w="1440" w:type="dxa"/>
          </w:tcPr>
          <w:p w14:paraId="3155B155">
            <w:pPr>
              <w:rPr>
                <w:rFonts w:asciiTheme="minorEastAsia" w:hAnsiTheme="minorEastAsia" w:eastAsiaTheme="minorEastAsia"/>
                <w:sz w:val="24"/>
                <w:szCs w:val="24"/>
              </w:rPr>
            </w:pPr>
          </w:p>
        </w:tc>
        <w:tc>
          <w:tcPr>
            <w:tcW w:w="1620" w:type="dxa"/>
          </w:tcPr>
          <w:p w14:paraId="4EBA161F">
            <w:pPr>
              <w:rPr>
                <w:rFonts w:asciiTheme="minorEastAsia" w:hAnsiTheme="minorEastAsia" w:eastAsiaTheme="minorEastAsia"/>
                <w:sz w:val="24"/>
                <w:szCs w:val="24"/>
              </w:rPr>
            </w:pPr>
          </w:p>
        </w:tc>
      </w:tr>
      <w:tr w14:paraId="37446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14:paraId="54395DB0">
            <w:pPr>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1080" w:type="dxa"/>
          </w:tcPr>
          <w:p w14:paraId="270FFF1D">
            <w:pPr>
              <w:rPr>
                <w:rFonts w:asciiTheme="minorEastAsia" w:hAnsiTheme="minorEastAsia" w:eastAsiaTheme="minorEastAsia"/>
                <w:sz w:val="24"/>
                <w:szCs w:val="24"/>
              </w:rPr>
            </w:pPr>
          </w:p>
        </w:tc>
        <w:tc>
          <w:tcPr>
            <w:tcW w:w="1980" w:type="dxa"/>
          </w:tcPr>
          <w:p w14:paraId="60DB88BF">
            <w:pPr>
              <w:rPr>
                <w:rFonts w:asciiTheme="minorEastAsia" w:hAnsiTheme="minorEastAsia" w:eastAsiaTheme="minorEastAsia"/>
                <w:sz w:val="24"/>
                <w:szCs w:val="24"/>
              </w:rPr>
            </w:pPr>
          </w:p>
        </w:tc>
        <w:tc>
          <w:tcPr>
            <w:tcW w:w="1980" w:type="dxa"/>
          </w:tcPr>
          <w:p w14:paraId="7772B306">
            <w:pPr>
              <w:rPr>
                <w:rFonts w:asciiTheme="minorEastAsia" w:hAnsiTheme="minorEastAsia" w:eastAsiaTheme="minorEastAsia"/>
                <w:sz w:val="24"/>
                <w:szCs w:val="24"/>
              </w:rPr>
            </w:pPr>
          </w:p>
        </w:tc>
        <w:tc>
          <w:tcPr>
            <w:tcW w:w="1440" w:type="dxa"/>
          </w:tcPr>
          <w:p w14:paraId="5BD6775A">
            <w:pPr>
              <w:rPr>
                <w:rFonts w:asciiTheme="minorEastAsia" w:hAnsiTheme="minorEastAsia" w:eastAsiaTheme="minorEastAsia"/>
                <w:sz w:val="24"/>
                <w:szCs w:val="24"/>
              </w:rPr>
            </w:pPr>
          </w:p>
        </w:tc>
        <w:tc>
          <w:tcPr>
            <w:tcW w:w="1620" w:type="dxa"/>
          </w:tcPr>
          <w:p w14:paraId="1913AD4F">
            <w:pPr>
              <w:rPr>
                <w:rFonts w:asciiTheme="minorEastAsia" w:hAnsiTheme="minorEastAsia" w:eastAsiaTheme="minorEastAsia"/>
                <w:sz w:val="24"/>
                <w:szCs w:val="24"/>
              </w:rPr>
            </w:pPr>
          </w:p>
        </w:tc>
      </w:tr>
      <w:tr w14:paraId="6B67E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14:paraId="34E02806">
            <w:pP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080" w:type="dxa"/>
          </w:tcPr>
          <w:p w14:paraId="6618A3FA">
            <w:pPr>
              <w:rPr>
                <w:rFonts w:asciiTheme="minorEastAsia" w:hAnsiTheme="minorEastAsia" w:eastAsiaTheme="minorEastAsia"/>
                <w:sz w:val="24"/>
                <w:szCs w:val="24"/>
              </w:rPr>
            </w:pPr>
          </w:p>
        </w:tc>
        <w:tc>
          <w:tcPr>
            <w:tcW w:w="1980" w:type="dxa"/>
          </w:tcPr>
          <w:p w14:paraId="3A8DDF13">
            <w:pPr>
              <w:rPr>
                <w:rFonts w:asciiTheme="minorEastAsia" w:hAnsiTheme="minorEastAsia" w:eastAsiaTheme="minorEastAsia"/>
                <w:sz w:val="24"/>
                <w:szCs w:val="24"/>
              </w:rPr>
            </w:pPr>
          </w:p>
        </w:tc>
        <w:tc>
          <w:tcPr>
            <w:tcW w:w="1980" w:type="dxa"/>
          </w:tcPr>
          <w:p w14:paraId="6AA575D0">
            <w:pPr>
              <w:rPr>
                <w:rFonts w:asciiTheme="minorEastAsia" w:hAnsiTheme="minorEastAsia" w:eastAsiaTheme="minorEastAsia"/>
                <w:sz w:val="24"/>
                <w:szCs w:val="24"/>
              </w:rPr>
            </w:pPr>
          </w:p>
        </w:tc>
        <w:tc>
          <w:tcPr>
            <w:tcW w:w="1440" w:type="dxa"/>
          </w:tcPr>
          <w:p w14:paraId="0D3C992E">
            <w:pPr>
              <w:rPr>
                <w:rFonts w:asciiTheme="minorEastAsia" w:hAnsiTheme="minorEastAsia" w:eastAsiaTheme="minorEastAsia"/>
                <w:sz w:val="24"/>
                <w:szCs w:val="24"/>
              </w:rPr>
            </w:pPr>
          </w:p>
        </w:tc>
        <w:tc>
          <w:tcPr>
            <w:tcW w:w="1620" w:type="dxa"/>
          </w:tcPr>
          <w:p w14:paraId="2927B4AA">
            <w:pPr>
              <w:rPr>
                <w:rFonts w:asciiTheme="minorEastAsia" w:hAnsiTheme="minorEastAsia" w:eastAsiaTheme="minorEastAsia"/>
                <w:sz w:val="24"/>
                <w:szCs w:val="24"/>
              </w:rPr>
            </w:pPr>
          </w:p>
        </w:tc>
      </w:tr>
    </w:tbl>
    <w:p w14:paraId="1E59FB09">
      <w:pPr>
        <w:pStyle w:val="26"/>
        <w:jc w:val="left"/>
        <w:rPr>
          <w:rFonts w:asciiTheme="minorEastAsia" w:hAnsiTheme="minorEastAsia" w:eastAsiaTheme="minorEastAsia"/>
          <w:sz w:val="24"/>
          <w:szCs w:val="24"/>
        </w:rPr>
      </w:pPr>
    </w:p>
    <w:p w14:paraId="4A2E3A99">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提示：</w:t>
      </w:r>
    </w:p>
    <w:p w14:paraId="2DAD0385">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1、“招标商务条款”一栏必须填写招标文件“商务需求”的内容（如有），并分别对应“（一）免费保修期内售后服务要求、（二）免费保修期外售后服务要求、（三）其他商务要求”的内容进行填写。</w:t>
      </w:r>
    </w:p>
    <w:p w14:paraId="7DE3E3C9">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2、“投标商务条款”一栏必须详细填写投标商务条款的内容。</w:t>
      </w:r>
    </w:p>
    <w:p w14:paraId="5E035E3E">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3、“偏离情况”栏中应如实填写“正偏离”、“负偏离”或“无偏离”。</w:t>
      </w:r>
    </w:p>
    <w:p w14:paraId="1D66154E">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4、交货期条款为不可负偏离条款，投标文件响应为“负偏离”的，投标文件将按废标处理。</w:t>
      </w:r>
    </w:p>
    <w:p w14:paraId="60F29582">
      <w:pPr>
        <w:spacing w:line="360" w:lineRule="auto"/>
        <w:rPr>
          <w:rFonts w:asciiTheme="minorEastAsia" w:hAnsiTheme="minorEastAsia" w:eastAsiaTheme="minorEastAsia"/>
          <w:sz w:val="24"/>
          <w:szCs w:val="24"/>
        </w:rPr>
        <w:sectPr>
          <w:pgSz w:w="11906" w:h="16838"/>
          <w:pgMar w:top="1701" w:right="1588" w:bottom="1304" w:left="1588" w:header="1247" w:footer="737" w:gutter="0"/>
          <w:cols w:space="425" w:num="1"/>
          <w:docGrid w:linePitch="380" w:charSpace="-4301"/>
        </w:sectPr>
      </w:pPr>
      <w:r>
        <w:rPr>
          <w:rFonts w:hint="eastAsia" w:asciiTheme="minorEastAsia" w:hAnsiTheme="minorEastAsia" w:eastAsiaTheme="minorEastAsia"/>
          <w:sz w:val="24"/>
          <w:szCs w:val="24"/>
        </w:rPr>
        <w:t>5、开标一览表中填写的“交货期”必须与本表填写的“交货期”一致。如填写不一致，以开标一览表填写的“交货期”为准。</w:t>
      </w:r>
    </w:p>
    <w:p w14:paraId="02E08A9F">
      <w:pPr>
        <w:jc w:val="center"/>
        <w:rPr>
          <w:rFonts w:asciiTheme="minorEastAsia" w:hAnsiTheme="minorEastAsia" w:eastAsiaTheme="minorEastAsia"/>
          <w:b/>
          <w:bCs/>
          <w:sz w:val="24"/>
          <w:szCs w:val="24"/>
        </w:rPr>
      </w:pPr>
      <w:bookmarkStart w:id="24" w:name="_Toc313109531"/>
      <w:r>
        <w:rPr>
          <w:rFonts w:hint="eastAsia" w:asciiTheme="minorEastAsia" w:hAnsiTheme="minorEastAsia" w:eastAsiaTheme="minorEastAsia"/>
          <w:b/>
          <w:bCs/>
          <w:sz w:val="24"/>
          <w:szCs w:val="24"/>
        </w:rPr>
        <w:t>五、投标分项报价表</w:t>
      </w:r>
      <w:bookmarkEnd w:id="24"/>
    </w:p>
    <w:p w14:paraId="63B07835">
      <w:pPr>
        <w:rPr>
          <w:rFonts w:asciiTheme="minorEastAsia" w:hAnsiTheme="minorEastAsia" w:eastAsiaTheme="minorEastAsia"/>
          <w:sz w:val="24"/>
          <w:szCs w:val="24"/>
        </w:rPr>
      </w:pPr>
      <w:r>
        <w:rPr>
          <w:rFonts w:hint="eastAsia" w:asciiTheme="minorEastAsia" w:hAnsiTheme="minorEastAsia" w:eastAsiaTheme="minorEastAsia"/>
          <w:sz w:val="24"/>
          <w:szCs w:val="24"/>
        </w:rPr>
        <w:t>单位：元</w:t>
      </w:r>
    </w:p>
    <w:tbl>
      <w:tblPr>
        <w:tblStyle w:val="16"/>
        <w:tblW w:w="957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462"/>
        <w:gridCol w:w="2236"/>
        <w:gridCol w:w="1419"/>
        <w:gridCol w:w="990"/>
        <w:gridCol w:w="705"/>
        <w:gridCol w:w="852"/>
        <w:gridCol w:w="711"/>
        <w:gridCol w:w="808"/>
        <w:gridCol w:w="1395"/>
      </w:tblGrid>
      <w:tr w14:paraId="1D59CC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02" w:hRule="atLeast"/>
          <w:jc w:val="center"/>
        </w:trPr>
        <w:tc>
          <w:tcPr>
            <w:tcW w:w="462" w:type="dxa"/>
            <w:vAlign w:val="center"/>
          </w:tcPr>
          <w:p w14:paraId="11855349">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序号</w:t>
            </w:r>
          </w:p>
        </w:tc>
        <w:tc>
          <w:tcPr>
            <w:tcW w:w="2236" w:type="dxa"/>
            <w:vAlign w:val="center"/>
          </w:tcPr>
          <w:p w14:paraId="3832EE4E">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货物名称</w:t>
            </w:r>
          </w:p>
        </w:tc>
        <w:tc>
          <w:tcPr>
            <w:tcW w:w="1419" w:type="dxa"/>
            <w:vAlign w:val="center"/>
          </w:tcPr>
          <w:p w14:paraId="077EFE9B">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型号/规格</w:t>
            </w:r>
          </w:p>
        </w:tc>
        <w:tc>
          <w:tcPr>
            <w:tcW w:w="990" w:type="dxa"/>
            <w:vAlign w:val="center"/>
          </w:tcPr>
          <w:p w14:paraId="7CB56968">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产地</w:t>
            </w:r>
          </w:p>
        </w:tc>
        <w:tc>
          <w:tcPr>
            <w:tcW w:w="705" w:type="dxa"/>
            <w:vAlign w:val="center"/>
          </w:tcPr>
          <w:p w14:paraId="18A0DD36">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品牌</w:t>
            </w:r>
          </w:p>
        </w:tc>
        <w:tc>
          <w:tcPr>
            <w:tcW w:w="852" w:type="dxa"/>
            <w:vAlign w:val="center"/>
          </w:tcPr>
          <w:p w14:paraId="34F2EB4E">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数量</w:t>
            </w:r>
          </w:p>
        </w:tc>
        <w:tc>
          <w:tcPr>
            <w:tcW w:w="711" w:type="dxa"/>
            <w:vAlign w:val="center"/>
          </w:tcPr>
          <w:p w14:paraId="7E639455">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单价</w:t>
            </w:r>
          </w:p>
        </w:tc>
        <w:tc>
          <w:tcPr>
            <w:tcW w:w="808" w:type="dxa"/>
            <w:vAlign w:val="center"/>
          </w:tcPr>
          <w:p w14:paraId="202FF0C3">
            <w:pPr>
              <w:jc w:val="center"/>
              <w:rPr>
                <w:rFonts w:hint="eastAsia" w:asciiTheme="minorEastAsia" w:hAnsiTheme="minorEastAsia" w:eastAsiaTheme="minorEastAsia"/>
                <w:b/>
                <w:sz w:val="24"/>
                <w:szCs w:val="24"/>
                <w:lang w:val="en-US" w:eastAsia="zh-CN"/>
              </w:rPr>
            </w:pPr>
            <w:r>
              <w:rPr>
                <w:rFonts w:hint="eastAsia" w:asciiTheme="minorEastAsia" w:hAnsiTheme="minorEastAsia" w:eastAsiaTheme="minorEastAsia"/>
                <w:b/>
                <w:sz w:val="24"/>
                <w:szCs w:val="24"/>
                <w:lang w:val="en-US" w:eastAsia="zh-CN"/>
              </w:rPr>
              <w:t>合计</w:t>
            </w:r>
          </w:p>
        </w:tc>
        <w:tc>
          <w:tcPr>
            <w:tcW w:w="1395" w:type="dxa"/>
            <w:vAlign w:val="center"/>
          </w:tcPr>
          <w:p w14:paraId="1EF6888C">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备注</w:t>
            </w:r>
          </w:p>
        </w:tc>
      </w:tr>
      <w:tr w14:paraId="468A2A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462" w:type="dxa"/>
            <w:vAlign w:val="center"/>
          </w:tcPr>
          <w:p w14:paraId="6AFF44F1">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2236" w:type="dxa"/>
            <w:vAlign w:val="center"/>
          </w:tcPr>
          <w:p w14:paraId="552E0B43">
            <w:pPr>
              <w:jc w:val="left"/>
              <w:rPr>
                <w:rFonts w:asciiTheme="minorEastAsia" w:hAnsiTheme="minorEastAsia" w:eastAsiaTheme="minorEastAsia"/>
                <w:sz w:val="24"/>
                <w:szCs w:val="24"/>
              </w:rPr>
            </w:pPr>
          </w:p>
        </w:tc>
        <w:tc>
          <w:tcPr>
            <w:tcW w:w="1419" w:type="dxa"/>
            <w:vAlign w:val="center"/>
          </w:tcPr>
          <w:p w14:paraId="00E676EC">
            <w:pPr>
              <w:jc w:val="center"/>
              <w:rPr>
                <w:rFonts w:asciiTheme="minorEastAsia" w:hAnsiTheme="minorEastAsia" w:eastAsiaTheme="minorEastAsia"/>
                <w:sz w:val="24"/>
                <w:szCs w:val="24"/>
              </w:rPr>
            </w:pPr>
          </w:p>
        </w:tc>
        <w:tc>
          <w:tcPr>
            <w:tcW w:w="990" w:type="dxa"/>
            <w:vAlign w:val="center"/>
          </w:tcPr>
          <w:p w14:paraId="2F1FF702">
            <w:pPr>
              <w:jc w:val="center"/>
              <w:rPr>
                <w:rFonts w:asciiTheme="minorEastAsia" w:hAnsiTheme="minorEastAsia" w:eastAsiaTheme="minorEastAsia"/>
                <w:sz w:val="24"/>
                <w:szCs w:val="24"/>
              </w:rPr>
            </w:pPr>
          </w:p>
        </w:tc>
        <w:tc>
          <w:tcPr>
            <w:tcW w:w="705" w:type="dxa"/>
            <w:vAlign w:val="center"/>
          </w:tcPr>
          <w:p w14:paraId="44AD4219">
            <w:pPr>
              <w:jc w:val="center"/>
              <w:rPr>
                <w:rFonts w:asciiTheme="minorEastAsia" w:hAnsiTheme="minorEastAsia" w:eastAsiaTheme="minorEastAsia"/>
                <w:sz w:val="24"/>
                <w:szCs w:val="24"/>
              </w:rPr>
            </w:pPr>
          </w:p>
        </w:tc>
        <w:tc>
          <w:tcPr>
            <w:tcW w:w="852" w:type="dxa"/>
            <w:vAlign w:val="center"/>
          </w:tcPr>
          <w:p w14:paraId="2A50C548">
            <w:pPr>
              <w:jc w:val="center"/>
              <w:rPr>
                <w:rFonts w:asciiTheme="minorEastAsia" w:hAnsiTheme="minorEastAsia" w:eastAsiaTheme="minorEastAsia"/>
                <w:sz w:val="24"/>
                <w:szCs w:val="24"/>
              </w:rPr>
            </w:pPr>
          </w:p>
        </w:tc>
        <w:tc>
          <w:tcPr>
            <w:tcW w:w="711" w:type="dxa"/>
            <w:vAlign w:val="center"/>
          </w:tcPr>
          <w:p w14:paraId="6E1F8668">
            <w:pPr>
              <w:jc w:val="center"/>
              <w:rPr>
                <w:rFonts w:asciiTheme="minorEastAsia" w:hAnsiTheme="minorEastAsia" w:eastAsiaTheme="minorEastAsia"/>
                <w:sz w:val="24"/>
                <w:szCs w:val="24"/>
              </w:rPr>
            </w:pPr>
          </w:p>
        </w:tc>
        <w:tc>
          <w:tcPr>
            <w:tcW w:w="808" w:type="dxa"/>
            <w:vAlign w:val="center"/>
          </w:tcPr>
          <w:p w14:paraId="6DBAFDDE">
            <w:pPr>
              <w:jc w:val="center"/>
              <w:rPr>
                <w:rFonts w:asciiTheme="minorEastAsia" w:hAnsiTheme="minorEastAsia" w:eastAsiaTheme="minorEastAsia"/>
                <w:sz w:val="24"/>
                <w:szCs w:val="24"/>
              </w:rPr>
            </w:pPr>
          </w:p>
        </w:tc>
        <w:tc>
          <w:tcPr>
            <w:tcW w:w="1395" w:type="dxa"/>
            <w:vAlign w:val="center"/>
          </w:tcPr>
          <w:p w14:paraId="45E283FA">
            <w:pPr>
              <w:jc w:val="center"/>
              <w:rPr>
                <w:rFonts w:asciiTheme="minorEastAsia" w:hAnsiTheme="minorEastAsia" w:eastAsiaTheme="minorEastAsia"/>
                <w:sz w:val="24"/>
                <w:szCs w:val="24"/>
              </w:rPr>
            </w:pPr>
          </w:p>
        </w:tc>
      </w:tr>
      <w:tr w14:paraId="43680E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462" w:type="dxa"/>
            <w:vAlign w:val="center"/>
          </w:tcPr>
          <w:p w14:paraId="78EF8062">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2236" w:type="dxa"/>
            <w:vAlign w:val="center"/>
          </w:tcPr>
          <w:p w14:paraId="42C455BB">
            <w:pPr>
              <w:jc w:val="left"/>
              <w:rPr>
                <w:rFonts w:asciiTheme="minorEastAsia" w:hAnsiTheme="minorEastAsia" w:eastAsiaTheme="minorEastAsia"/>
                <w:sz w:val="24"/>
                <w:szCs w:val="24"/>
              </w:rPr>
            </w:pPr>
          </w:p>
        </w:tc>
        <w:tc>
          <w:tcPr>
            <w:tcW w:w="1419" w:type="dxa"/>
            <w:vAlign w:val="center"/>
          </w:tcPr>
          <w:p w14:paraId="7C3AFF33">
            <w:pPr>
              <w:jc w:val="center"/>
              <w:rPr>
                <w:rFonts w:asciiTheme="minorEastAsia" w:hAnsiTheme="minorEastAsia" w:eastAsiaTheme="minorEastAsia"/>
                <w:sz w:val="24"/>
                <w:szCs w:val="24"/>
              </w:rPr>
            </w:pPr>
          </w:p>
        </w:tc>
        <w:tc>
          <w:tcPr>
            <w:tcW w:w="990" w:type="dxa"/>
            <w:vAlign w:val="center"/>
          </w:tcPr>
          <w:p w14:paraId="7EF233C7">
            <w:pPr>
              <w:jc w:val="center"/>
              <w:rPr>
                <w:rFonts w:asciiTheme="minorEastAsia" w:hAnsiTheme="minorEastAsia" w:eastAsiaTheme="minorEastAsia"/>
                <w:sz w:val="24"/>
                <w:szCs w:val="24"/>
              </w:rPr>
            </w:pPr>
          </w:p>
        </w:tc>
        <w:tc>
          <w:tcPr>
            <w:tcW w:w="705" w:type="dxa"/>
            <w:vAlign w:val="center"/>
          </w:tcPr>
          <w:p w14:paraId="4F1C5BD6">
            <w:pPr>
              <w:jc w:val="center"/>
              <w:rPr>
                <w:rFonts w:asciiTheme="minorEastAsia" w:hAnsiTheme="minorEastAsia" w:eastAsiaTheme="minorEastAsia"/>
                <w:sz w:val="24"/>
                <w:szCs w:val="24"/>
              </w:rPr>
            </w:pPr>
          </w:p>
        </w:tc>
        <w:tc>
          <w:tcPr>
            <w:tcW w:w="852" w:type="dxa"/>
            <w:vAlign w:val="center"/>
          </w:tcPr>
          <w:p w14:paraId="3AE9FF2E">
            <w:pPr>
              <w:jc w:val="center"/>
              <w:rPr>
                <w:rFonts w:asciiTheme="minorEastAsia" w:hAnsiTheme="minorEastAsia" w:eastAsiaTheme="minorEastAsia"/>
                <w:sz w:val="24"/>
                <w:szCs w:val="24"/>
              </w:rPr>
            </w:pPr>
          </w:p>
        </w:tc>
        <w:tc>
          <w:tcPr>
            <w:tcW w:w="711" w:type="dxa"/>
            <w:vAlign w:val="center"/>
          </w:tcPr>
          <w:p w14:paraId="42C2FB4E">
            <w:pPr>
              <w:jc w:val="center"/>
              <w:rPr>
                <w:rFonts w:asciiTheme="minorEastAsia" w:hAnsiTheme="minorEastAsia" w:eastAsiaTheme="minorEastAsia"/>
                <w:sz w:val="24"/>
                <w:szCs w:val="24"/>
              </w:rPr>
            </w:pPr>
          </w:p>
        </w:tc>
        <w:tc>
          <w:tcPr>
            <w:tcW w:w="808" w:type="dxa"/>
            <w:vAlign w:val="center"/>
          </w:tcPr>
          <w:p w14:paraId="2FEB1254">
            <w:pPr>
              <w:jc w:val="center"/>
              <w:rPr>
                <w:rFonts w:asciiTheme="minorEastAsia" w:hAnsiTheme="minorEastAsia" w:eastAsiaTheme="minorEastAsia"/>
                <w:sz w:val="24"/>
                <w:szCs w:val="24"/>
              </w:rPr>
            </w:pPr>
          </w:p>
        </w:tc>
        <w:tc>
          <w:tcPr>
            <w:tcW w:w="1395" w:type="dxa"/>
            <w:vAlign w:val="center"/>
          </w:tcPr>
          <w:p w14:paraId="577D2654">
            <w:pPr>
              <w:jc w:val="center"/>
              <w:rPr>
                <w:rFonts w:asciiTheme="minorEastAsia" w:hAnsiTheme="minorEastAsia" w:eastAsiaTheme="minorEastAsia"/>
                <w:sz w:val="24"/>
                <w:szCs w:val="24"/>
              </w:rPr>
            </w:pPr>
          </w:p>
        </w:tc>
      </w:tr>
      <w:tr w14:paraId="3703C3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462" w:type="dxa"/>
            <w:vAlign w:val="center"/>
          </w:tcPr>
          <w:p w14:paraId="2333980C">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３</w:t>
            </w:r>
          </w:p>
        </w:tc>
        <w:tc>
          <w:tcPr>
            <w:tcW w:w="2236" w:type="dxa"/>
            <w:vAlign w:val="center"/>
          </w:tcPr>
          <w:p w14:paraId="4BC69D3B">
            <w:pPr>
              <w:jc w:val="left"/>
              <w:rPr>
                <w:rFonts w:asciiTheme="minorEastAsia" w:hAnsiTheme="minorEastAsia" w:eastAsiaTheme="minorEastAsia"/>
                <w:sz w:val="24"/>
                <w:szCs w:val="24"/>
              </w:rPr>
            </w:pPr>
          </w:p>
        </w:tc>
        <w:tc>
          <w:tcPr>
            <w:tcW w:w="1419" w:type="dxa"/>
            <w:vAlign w:val="center"/>
          </w:tcPr>
          <w:p w14:paraId="0C216AFC">
            <w:pPr>
              <w:jc w:val="center"/>
              <w:rPr>
                <w:rFonts w:asciiTheme="minorEastAsia" w:hAnsiTheme="minorEastAsia" w:eastAsiaTheme="minorEastAsia"/>
                <w:sz w:val="24"/>
                <w:szCs w:val="24"/>
              </w:rPr>
            </w:pPr>
          </w:p>
        </w:tc>
        <w:tc>
          <w:tcPr>
            <w:tcW w:w="990" w:type="dxa"/>
            <w:vAlign w:val="center"/>
          </w:tcPr>
          <w:p w14:paraId="6EC8875B">
            <w:pPr>
              <w:jc w:val="center"/>
              <w:rPr>
                <w:rFonts w:asciiTheme="minorEastAsia" w:hAnsiTheme="minorEastAsia" w:eastAsiaTheme="minorEastAsia"/>
                <w:sz w:val="24"/>
                <w:szCs w:val="24"/>
              </w:rPr>
            </w:pPr>
          </w:p>
        </w:tc>
        <w:tc>
          <w:tcPr>
            <w:tcW w:w="705" w:type="dxa"/>
            <w:vAlign w:val="center"/>
          </w:tcPr>
          <w:p w14:paraId="47435921">
            <w:pPr>
              <w:jc w:val="center"/>
              <w:rPr>
                <w:rFonts w:asciiTheme="minorEastAsia" w:hAnsiTheme="minorEastAsia" w:eastAsiaTheme="minorEastAsia"/>
                <w:sz w:val="24"/>
                <w:szCs w:val="24"/>
              </w:rPr>
            </w:pPr>
          </w:p>
        </w:tc>
        <w:tc>
          <w:tcPr>
            <w:tcW w:w="852" w:type="dxa"/>
            <w:vAlign w:val="center"/>
          </w:tcPr>
          <w:p w14:paraId="714BA455">
            <w:pPr>
              <w:jc w:val="center"/>
              <w:rPr>
                <w:rFonts w:asciiTheme="minorEastAsia" w:hAnsiTheme="minorEastAsia" w:eastAsiaTheme="minorEastAsia"/>
                <w:sz w:val="24"/>
                <w:szCs w:val="24"/>
              </w:rPr>
            </w:pPr>
          </w:p>
        </w:tc>
        <w:tc>
          <w:tcPr>
            <w:tcW w:w="711" w:type="dxa"/>
            <w:vAlign w:val="center"/>
          </w:tcPr>
          <w:p w14:paraId="1F61A1AB">
            <w:pPr>
              <w:jc w:val="center"/>
              <w:rPr>
                <w:rFonts w:asciiTheme="minorEastAsia" w:hAnsiTheme="minorEastAsia" w:eastAsiaTheme="minorEastAsia"/>
                <w:sz w:val="24"/>
                <w:szCs w:val="24"/>
              </w:rPr>
            </w:pPr>
          </w:p>
        </w:tc>
        <w:tc>
          <w:tcPr>
            <w:tcW w:w="808" w:type="dxa"/>
            <w:vAlign w:val="center"/>
          </w:tcPr>
          <w:p w14:paraId="48F81418">
            <w:pPr>
              <w:jc w:val="center"/>
              <w:rPr>
                <w:rFonts w:asciiTheme="minorEastAsia" w:hAnsiTheme="minorEastAsia" w:eastAsiaTheme="minorEastAsia"/>
                <w:sz w:val="24"/>
                <w:szCs w:val="24"/>
              </w:rPr>
            </w:pPr>
          </w:p>
        </w:tc>
        <w:tc>
          <w:tcPr>
            <w:tcW w:w="1395" w:type="dxa"/>
            <w:vAlign w:val="center"/>
          </w:tcPr>
          <w:p w14:paraId="2771CCBC">
            <w:pPr>
              <w:jc w:val="center"/>
              <w:rPr>
                <w:rFonts w:asciiTheme="minorEastAsia" w:hAnsiTheme="minorEastAsia" w:eastAsiaTheme="minorEastAsia"/>
                <w:sz w:val="24"/>
                <w:szCs w:val="24"/>
              </w:rPr>
            </w:pPr>
          </w:p>
        </w:tc>
      </w:tr>
      <w:tr w14:paraId="68BD53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97" w:hRule="atLeast"/>
          <w:jc w:val="center"/>
        </w:trPr>
        <w:tc>
          <w:tcPr>
            <w:tcW w:w="8183" w:type="dxa"/>
            <w:gridSpan w:val="8"/>
            <w:vAlign w:val="center"/>
          </w:tcPr>
          <w:p w14:paraId="5553C5FB">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总    计</w:t>
            </w:r>
          </w:p>
        </w:tc>
        <w:tc>
          <w:tcPr>
            <w:tcW w:w="1395" w:type="dxa"/>
            <w:vAlign w:val="center"/>
          </w:tcPr>
          <w:p w14:paraId="70913D07">
            <w:pPr>
              <w:jc w:val="center"/>
              <w:rPr>
                <w:rFonts w:asciiTheme="minorEastAsia" w:hAnsiTheme="minorEastAsia" w:eastAsiaTheme="minorEastAsia"/>
                <w:sz w:val="24"/>
                <w:szCs w:val="24"/>
              </w:rPr>
            </w:pPr>
          </w:p>
        </w:tc>
      </w:tr>
    </w:tbl>
    <w:p w14:paraId="1F458D78">
      <w:pPr>
        <w:spacing w:line="360" w:lineRule="auto"/>
        <w:rPr>
          <w:rFonts w:hint="eastAsia" w:asciiTheme="minorEastAsia" w:hAnsiTheme="minorEastAsia" w:eastAsiaTheme="minorEastAsia"/>
          <w:sz w:val="24"/>
          <w:szCs w:val="24"/>
        </w:rPr>
      </w:pPr>
    </w:p>
    <w:p w14:paraId="4C1EF6FF">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注：</w:t>
      </w:r>
    </w:p>
    <w:p w14:paraId="6FF3ECF4">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1、单价、合价和投标总价为包干价，即三者均应包含设备的价款、包装、运输、装卸、安装、调试、技术指导、培训、咨询、服务、保险、税费、检测、验收合格交付使用之前以及技术和售后服务等其他各项有关费用。</w:t>
      </w:r>
    </w:p>
    <w:p w14:paraId="5EE4EC75">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2、开标一览表的投标总价必须与本报价表的投标总价一致。</w:t>
      </w:r>
    </w:p>
    <w:p w14:paraId="0CDCB282">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3、“产地”是指该产品的实际生产加工地，而非品牌总公司所在地。</w:t>
      </w:r>
    </w:p>
    <w:p w14:paraId="06CC8BD3">
      <w:pPr>
        <w:spacing w:line="360" w:lineRule="auto"/>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4、单价、合计的数量单位均为“元”。</w:t>
      </w:r>
    </w:p>
    <w:p w14:paraId="595005EB">
      <w:pPr>
        <w:jc w:val="both"/>
        <w:rPr>
          <w:rFonts w:asciiTheme="minorEastAsia" w:hAnsiTheme="minorEastAsia" w:eastAsiaTheme="minorEastAsia"/>
          <w:b/>
          <w:bCs/>
          <w:sz w:val="24"/>
          <w:szCs w:val="24"/>
        </w:rPr>
      </w:pPr>
    </w:p>
    <w:p w14:paraId="4128509E">
      <w:pPr>
        <w:jc w:val="center"/>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（二）零配件、消耗品和延续保修合同报价清单（不包括在投标总价内）</w:t>
      </w:r>
    </w:p>
    <w:p w14:paraId="610C97B1">
      <w:pPr>
        <w:ind w:firstLine="482" w:firstLineChars="200"/>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注：价格最高的前5项零配件、消耗品和延续保修合同的报价明细必须填写于此清单中。如耗材价格较贵并长期使用则按需求分类报价评分。</w:t>
      </w:r>
    </w:p>
    <w:tbl>
      <w:tblPr>
        <w:tblStyle w:val="16"/>
        <w:tblW w:w="73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1228"/>
        <w:gridCol w:w="1694"/>
        <w:gridCol w:w="900"/>
        <w:gridCol w:w="1027"/>
        <w:gridCol w:w="720"/>
        <w:gridCol w:w="977"/>
      </w:tblGrid>
      <w:tr w14:paraId="4BC87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vAlign w:val="center"/>
          </w:tcPr>
          <w:p w14:paraId="1B29505B">
            <w:pPr>
              <w:ind w:right="-69" w:rightChars="-33"/>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序号</w:t>
            </w:r>
          </w:p>
        </w:tc>
        <w:tc>
          <w:tcPr>
            <w:tcW w:w="1228" w:type="dxa"/>
            <w:vAlign w:val="center"/>
          </w:tcPr>
          <w:p w14:paraId="329E9068">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货物名称</w:t>
            </w:r>
          </w:p>
        </w:tc>
        <w:tc>
          <w:tcPr>
            <w:tcW w:w="1694" w:type="dxa"/>
            <w:vAlign w:val="center"/>
          </w:tcPr>
          <w:p w14:paraId="3A3899CB">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规格及型号</w:t>
            </w:r>
          </w:p>
        </w:tc>
        <w:tc>
          <w:tcPr>
            <w:tcW w:w="900" w:type="dxa"/>
            <w:vAlign w:val="center"/>
          </w:tcPr>
          <w:p w14:paraId="67251B4E">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产地</w:t>
            </w:r>
          </w:p>
        </w:tc>
        <w:tc>
          <w:tcPr>
            <w:tcW w:w="1027" w:type="dxa"/>
            <w:vAlign w:val="center"/>
          </w:tcPr>
          <w:p w14:paraId="7DB7706E">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品牌</w:t>
            </w:r>
          </w:p>
        </w:tc>
        <w:tc>
          <w:tcPr>
            <w:tcW w:w="720" w:type="dxa"/>
            <w:vAlign w:val="center"/>
          </w:tcPr>
          <w:p w14:paraId="2F204300">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数量</w:t>
            </w:r>
          </w:p>
        </w:tc>
        <w:tc>
          <w:tcPr>
            <w:tcW w:w="977" w:type="dxa"/>
            <w:vAlign w:val="center"/>
          </w:tcPr>
          <w:p w14:paraId="7AE4BEC1">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单价</w:t>
            </w:r>
          </w:p>
        </w:tc>
      </w:tr>
      <w:tr w14:paraId="1AC55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6E7D528B">
            <w:pPr>
              <w:ind w:right="-69" w:rightChars="-33"/>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1228" w:type="dxa"/>
          </w:tcPr>
          <w:p w14:paraId="2A17DE80">
            <w:pPr>
              <w:rPr>
                <w:rFonts w:asciiTheme="minorEastAsia" w:hAnsiTheme="minorEastAsia" w:eastAsiaTheme="minorEastAsia"/>
                <w:sz w:val="24"/>
                <w:szCs w:val="24"/>
              </w:rPr>
            </w:pPr>
          </w:p>
        </w:tc>
        <w:tc>
          <w:tcPr>
            <w:tcW w:w="1694" w:type="dxa"/>
          </w:tcPr>
          <w:p w14:paraId="5FE3B665">
            <w:pPr>
              <w:rPr>
                <w:rFonts w:asciiTheme="minorEastAsia" w:hAnsiTheme="minorEastAsia" w:eastAsiaTheme="minorEastAsia"/>
                <w:sz w:val="24"/>
                <w:szCs w:val="24"/>
              </w:rPr>
            </w:pPr>
          </w:p>
        </w:tc>
        <w:tc>
          <w:tcPr>
            <w:tcW w:w="900" w:type="dxa"/>
          </w:tcPr>
          <w:p w14:paraId="5CB3A76F">
            <w:pPr>
              <w:rPr>
                <w:rFonts w:asciiTheme="minorEastAsia" w:hAnsiTheme="minorEastAsia" w:eastAsiaTheme="minorEastAsia"/>
                <w:sz w:val="24"/>
                <w:szCs w:val="24"/>
              </w:rPr>
            </w:pPr>
          </w:p>
        </w:tc>
        <w:tc>
          <w:tcPr>
            <w:tcW w:w="1027" w:type="dxa"/>
          </w:tcPr>
          <w:p w14:paraId="46701891">
            <w:pPr>
              <w:rPr>
                <w:rFonts w:asciiTheme="minorEastAsia" w:hAnsiTheme="minorEastAsia" w:eastAsiaTheme="minorEastAsia"/>
                <w:sz w:val="24"/>
                <w:szCs w:val="24"/>
              </w:rPr>
            </w:pPr>
          </w:p>
        </w:tc>
        <w:tc>
          <w:tcPr>
            <w:tcW w:w="720" w:type="dxa"/>
          </w:tcPr>
          <w:p w14:paraId="67208E27">
            <w:pPr>
              <w:rPr>
                <w:rFonts w:asciiTheme="minorEastAsia" w:hAnsiTheme="minorEastAsia" w:eastAsiaTheme="minorEastAsia"/>
                <w:sz w:val="24"/>
                <w:szCs w:val="24"/>
              </w:rPr>
            </w:pPr>
          </w:p>
        </w:tc>
        <w:tc>
          <w:tcPr>
            <w:tcW w:w="977" w:type="dxa"/>
          </w:tcPr>
          <w:p w14:paraId="40DBE015">
            <w:pPr>
              <w:rPr>
                <w:rFonts w:asciiTheme="minorEastAsia" w:hAnsiTheme="minorEastAsia" w:eastAsiaTheme="minorEastAsia"/>
                <w:sz w:val="24"/>
                <w:szCs w:val="24"/>
              </w:rPr>
            </w:pPr>
          </w:p>
        </w:tc>
      </w:tr>
      <w:tr w14:paraId="2987F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7F1BF568">
            <w:pPr>
              <w:ind w:right="-69" w:rightChars="-33"/>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1228" w:type="dxa"/>
          </w:tcPr>
          <w:p w14:paraId="59C342FA">
            <w:pPr>
              <w:rPr>
                <w:rFonts w:asciiTheme="minorEastAsia" w:hAnsiTheme="minorEastAsia" w:eastAsiaTheme="minorEastAsia"/>
                <w:sz w:val="24"/>
                <w:szCs w:val="24"/>
              </w:rPr>
            </w:pPr>
          </w:p>
        </w:tc>
        <w:tc>
          <w:tcPr>
            <w:tcW w:w="1694" w:type="dxa"/>
          </w:tcPr>
          <w:p w14:paraId="4A462928">
            <w:pPr>
              <w:rPr>
                <w:rFonts w:asciiTheme="minorEastAsia" w:hAnsiTheme="minorEastAsia" w:eastAsiaTheme="minorEastAsia"/>
                <w:sz w:val="24"/>
                <w:szCs w:val="24"/>
              </w:rPr>
            </w:pPr>
          </w:p>
        </w:tc>
        <w:tc>
          <w:tcPr>
            <w:tcW w:w="900" w:type="dxa"/>
          </w:tcPr>
          <w:p w14:paraId="10091F02">
            <w:pPr>
              <w:rPr>
                <w:rFonts w:asciiTheme="minorEastAsia" w:hAnsiTheme="minorEastAsia" w:eastAsiaTheme="minorEastAsia"/>
                <w:sz w:val="24"/>
                <w:szCs w:val="24"/>
              </w:rPr>
            </w:pPr>
          </w:p>
        </w:tc>
        <w:tc>
          <w:tcPr>
            <w:tcW w:w="1027" w:type="dxa"/>
          </w:tcPr>
          <w:p w14:paraId="30EFB42F">
            <w:pPr>
              <w:rPr>
                <w:rFonts w:asciiTheme="minorEastAsia" w:hAnsiTheme="minorEastAsia" w:eastAsiaTheme="minorEastAsia"/>
                <w:sz w:val="24"/>
                <w:szCs w:val="24"/>
              </w:rPr>
            </w:pPr>
          </w:p>
        </w:tc>
        <w:tc>
          <w:tcPr>
            <w:tcW w:w="720" w:type="dxa"/>
          </w:tcPr>
          <w:p w14:paraId="1DFAD5EE">
            <w:pPr>
              <w:rPr>
                <w:rFonts w:asciiTheme="minorEastAsia" w:hAnsiTheme="minorEastAsia" w:eastAsiaTheme="minorEastAsia"/>
                <w:sz w:val="24"/>
                <w:szCs w:val="24"/>
              </w:rPr>
            </w:pPr>
          </w:p>
        </w:tc>
        <w:tc>
          <w:tcPr>
            <w:tcW w:w="977" w:type="dxa"/>
          </w:tcPr>
          <w:p w14:paraId="1349030F">
            <w:pPr>
              <w:rPr>
                <w:rFonts w:asciiTheme="minorEastAsia" w:hAnsiTheme="minorEastAsia" w:eastAsiaTheme="minorEastAsia"/>
                <w:sz w:val="24"/>
                <w:szCs w:val="24"/>
              </w:rPr>
            </w:pPr>
          </w:p>
        </w:tc>
      </w:tr>
      <w:tr w14:paraId="1E226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4FF41050">
            <w:pPr>
              <w:ind w:right="-69" w:rightChars="-33"/>
              <w:jc w:val="center"/>
              <w:rPr>
                <w:rFonts w:asciiTheme="minorEastAsia" w:hAnsiTheme="minorEastAsia" w:eastAsiaTheme="minorEastAsia"/>
                <w:sz w:val="24"/>
                <w:szCs w:val="24"/>
              </w:rPr>
            </w:pPr>
          </w:p>
        </w:tc>
        <w:tc>
          <w:tcPr>
            <w:tcW w:w="1228" w:type="dxa"/>
          </w:tcPr>
          <w:p w14:paraId="1F997E50">
            <w:pPr>
              <w:rPr>
                <w:rFonts w:asciiTheme="minorEastAsia" w:hAnsiTheme="minorEastAsia" w:eastAsiaTheme="minorEastAsia"/>
                <w:sz w:val="24"/>
                <w:szCs w:val="24"/>
              </w:rPr>
            </w:pPr>
          </w:p>
        </w:tc>
        <w:tc>
          <w:tcPr>
            <w:tcW w:w="1694" w:type="dxa"/>
          </w:tcPr>
          <w:p w14:paraId="021DB5D1">
            <w:pPr>
              <w:rPr>
                <w:rFonts w:asciiTheme="minorEastAsia" w:hAnsiTheme="minorEastAsia" w:eastAsiaTheme="minorEastAsia"/>
                <w:sz w:val="24"/>
                <w:szCs w:val="24"/>
              </w:rPr>
            </w:pPr>
          </w:p>
        </w:tc>
        <w:tc>
          <w:tcPr>
            <w:tcW w:w="900" w:type="dxa"/>
          </w:tcPr>
          <w:p w14:paraId="3ED468B1">
            <w:pPr>
              <w:rPr>
                <w:rFonts w:asciiTheme="minorEastAsia" w:hAnsiTheme="minorEastAsia" w:eastAsiaTheme="minorEastAsia"/>
                <w:sz w:val="24"/>
                <w:szCs w:val="24"/>
              </w:rPr>
            </w:pPr>
          </w:p>
        </w:tc>
        <w:tc>
          <w:tcPr>
            <w:tcW w:w="1027" w:type="dxa"/>
          </w:tcPr>
          <w:p w14:paraId="3680149E">
            <w:pPr>
              <w:rPr>
                <w:rFonts w:asciiTheme="minorEastAsia" w:hAnsiTheme="minorEastAsia" w:eastAsiaTheme="minorEastAsia"/>
                <w:sz w:val="24"/>
                <w:szCs w:val="24"/>
              </w:rPr>
            </w:pPr>
          </w:p>
        </w:tc>
        <w:tc>
          <w:tcPr>
            <w:tcW w:w="720" w:type="dxa"/>
          </w:tcPr>
          <w:p w14:paraId="2D586620">
            <w:pPr>
              <w:rPr>
                <w:rFonts w:asciiTheme="minorEastAsia" w:hAnsiTheme="minorEastAsia" w:eastAsiaTheme="minorEastAsia"/>
                <w:sz w:val="24"/>
                <w:szCs w:val="24"/>
              </w:rPr>
            </w:pPr>
          </w:p>
        </w:tc>
        <w:tc>
          <w:tcPr>
            <w:tcW w:w="977" w:type="dxa"/>
          </w:tcPr>
          <w:p w14:paraId="5B4653D8">
            <w:pPr>
              <w:rPr>
                <w:rFonts w:asciiTheme="minorEastAsia" w:hAnsiTheme="minorEastAsia" w:eastAsiaTheme="minorEastAsia"/>
                <w:sz w:val="24"/>
                <w:szCs w:val="24"/>
              </w:rPr>
            </w:pPr>
          </w:p>
        </w:tc>
      </w:tr>
      <w:tr w14:paraId="2D6CB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7286A377">
            <w:pPr>
              <w:ind w:right="-69" w:rightChars="-33"/>
              <w:jc w:val="center"/>
              <w:rPr>
                <w:rFonts w:asciiTheme="minorEastAsia" w:hAnsiTheme="minorEastAsia" w:eastAsiaTheme="minorEastAsia"/>
                <w:sz w:val="24"/>
                <w:szCs w:val="24"/>
              </w:rPr>
            </w:pPr>
          </w:p>
        </w:tc>
        <w:tc>
          <w:tcPr>
            <w:tcW w:w="1228" w:type="dxa"/>
          </w:tcPr>
          <w:p w14:paraId="7043431A">
            <w:pPr>
              <w:rPr>
                <w:rFonts w:asciiTheme="minorEastAsia" w:hAnsiTheme="minorEastAsia" w:eastAsiaTheme="minorEastAsia"/>
                <w:sz w:val="24"/>
                <w:szCs w:val="24"/>
              </w:rPr>
            </w:pPr>
          </w:p>
        </w:tc>
        <w:tc>
          <w:tcPr>
            <w:tcW w:w="1694" w:type="dxa"/>
          </w:tcPr>
          <w:p w14:paraId="44CD9004">
            <w:pPr>
              <w:rPr>
                <w:rFonts w:asciiTheme="minorEastAsia" w:hAnsiTheme="minorEastAsia" w:eastAsiaTheme="minorEastAsia"/>
                <w:sz w:val="24"/>
                <w:szCs w:val="24"/>
              </w:rPr>
            </w:pPr>
          </w:p>
        </w:tc>
        <w:tc>
          <w:tcPr>
            <w:tcW w:w="900" w:type="dxa"/>
          </w:tcPr>
          <w:p w14:paraId="2FDA4BED">
            <w:pPr>
              <w:rPr>
                <w:rFonts w:asciiTheme="minorEastAsia" w:hAnsiTheme="minorEastAsia" w:eastAsiaTheme="minorEastAsia"/>
                <w:sz w:val="24"/>
                <w:szCs w:val="24"/>
              </w:rPr>
            </w:pPr>
          </w:p>
        </w:tc>
        <w:tc>
          <w:tcPr>
            <w:tcW w:w="1027" w:type="dxa"/>
          </w:tcPr>
          <w:p w14:paraId="2FC73EE4">
            <w:pPr>
              <w:rPr>
                <w:rFonts w:asciiTheme="minorEastAsia" w:hAnsiTheme="minorEastAsia" w:eastAsiaTheme="minorEastAsia"/>
                <w:sz w:val="24"/>
                <w:szCs w:val="24"/>
              </w:rPr>
            </w:pPr>
          </w:p>
        </w:tc>
        <w:tc>
          <w:tcPr>
            <w:tcW w:w="720" w:type="dxa"/>
          </w:tcPr>
          <w:p w14:paraId="36E2C0B1">
            <w:pPr>
              <w:rPr>
                <w:rFonts w:asciiTheme="minorEastAsia" w:hAnsiTheme="minorEastAsia" w:eastAsiaTheme="minorEastAsia"/>
                <w:sz w:val="24"/>
                <w:szCs w:val="24"/>
              </w:rPr>
            </w:pPr>
          </w:p>
        </w:tc>
        <w:tc>
          <w:tcPr>
            <w:tcW w:w="977" w:type="dxa"/>
          </w:tcPr>
          <w:p w14:paraId="4AE2A3F6">
            <w:pPr>
              <w:rPr>
                <w:rFonts w:asciiTheme="minorEastAsia" w:hAnsiTheme="minorEastAsia" w:eastAsiaTheme="minorEastAsia"/>
                <w:sz w:val="24"/>
                <w:szCs w:val="24"/>
              </w:rPr>
            </w:pPr>
          </w:p>
        </w:tc>
      </w:tr>
      <w:tr w14:paraId="4AECD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0B1FC866">
            <w:pPr>
              <w:rPr>
                <w:rFonts w:asciiTheme="minorEastAsia" w:hAnsiTheme="minorEastAsia" w:eastAsiaTheme="minorEastAsia"/>
                <w:sz w:val="24"/>
                <w:szCs w:val="24"/>
              </w:rPr>
            </w:pPr>
          </w:p>
        </w:tc>
        <w:tc>
          <w:tcPr>
            <w:tcW w:w="1228" w:type="dxa"/>
          </w:tcPr>
          <w:p w14:paraId="5310FF18">
            <w:pPr>
              <w:rPr>
                <w:rFonts w:asciiTheme="minorEastAsia" w:hAnsiTheme="minorEastAsia" w:eastAsiaTheme="minorEastAsia"/>
                <w:sz w:val="24"/>
                <w:szCs w:val="24"/>
              </w:rPr>
            </w:pPr>
          </w:p>
        </w:tc>
        <w:tc>
          <w:tcPr>
            <w:tcW w:w="1694" w:type="dxa"/>
          </w:tcPr>
          <w:p w14:paraId="7A4BEC72">
            <w:pPr>
              <w:rPr>
                <w:rFonts w:asciiTheme="minorEastAsia" w:hAnsiTheme="minorEastAsia" w:eastAsiaTheme="minorEastAsia"/>
                <w:sz w:val="24"/>
                <w:szCs w:val="24"/>
              </w:rPr>
            </w:pPr>
          </w:p>
        </w:tc>
        <w:tc>
          <w:tcPr>
            <w:tcW w:w="900" w:type="dxa"/>
          </w:tcPr>
          <w:p w14:paraId="27B51982">
            <w:pPr>
              <w:rPr>
                <w:rFonts w:asciiTheme="minorEastAsia" w:hAnsiTheme="minorEastAsia" w:eastAsiaTheme="minorEastAsia"/>
                <w:sz w:val="24"/>
                <w:szCs w:val="24"/>
              </w:rPr>
            </w:pPr>
          </w:p>
        </w:tc>
        <w:tc>
          <w:tcPr>
            <w:tcW w:w="1027" w:type="dxa"/>
          </w:tcPr>
          <w:p w14:paraId="1325CCE8">
            <w:pPr>
              <w:rPr>
                <w:rFonts w:asciiTheme="minorEastAsia" w:hAnsiTheme="minorEastAsia" w:eastAsiaTheme="minorEastAsia"/>
                <w:sz w:val="24"/>
                <w:szCs w:val="24"/>
              </w:rPr>
            </w:pPr>
          </w:p>
        </w:tc>
        <w:tc>
          <w:tcPr>
            <w:tcW w:w="720" w:type="dxa"/>
          </w:tcPr>
          <w:p w14:paraId="22F60B64">
            <w:pPr>
              <w:rPr>
                <w:rFonts w:asciiTheme="minorEastAsia" w:hAnsiTheme="minorEastAsia" w:eastAsiaTheme="minorEastAsia"/>
                <w:sz w:val="24"/>
                <w:szCs w:val="24"/>
              </w:rPr>
            </w:pPr>
          </w:p>
        </w:tc>
        <w:tc>
          <w:tcPr>
            <w:tcW w:w="977" w:type="dxa"/>
          </w:tcPr>
          <w:p w14:paraId="3D4FECE7">
            <w:pPr>
              <w:rPr>
                <w:rFonts w:asciiTheme="minorEastAsia" w:hAnsiTheme="minorEastAsia" w:eastAsiaTheme="minorEastAsia"/>
                <w:sz w:val="24"/>
                <w:szCs w:val="24"/>
              </w:rPr>
            </w:pPr>
          </w:p>
        </w:tc>
      </w:tr>
      <w:tr w14:paraId="70309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73B36438">
            <w:pPr>
              <w:rPr>
                <w:rFonts w:asciiTheme="minorEastAsia" w:hAnsiTheme="minorEastAsia" w:eastAsiaTheme="minorEastAsia"/>
                <w:sz w:val="24"/>
                <w:szCs w:val="24"/>
              </w:rPr>
            </w:pPr>
          </w:p>
        </w:tc>
        <w:tc>
          <w:tcPr>
            <w:tcW w:w="1228" w:type="dxa"/>
          </w:tcPr>
          <w:p w14:paraId="351ADE84">
            <w:pPr>
              <w:rPr>
                <w:rFonts w:asciiTheme="minorEastAsia" w:hAnsiTheme="minorEastAsia" w:eastAsiaTheme="minorEastAsia"/>
                <w:sz w:val="24"/>
                <w:szCs w:val="24"/>
              </w:rPr>
            </w:pPr>
          </w:p>
        </w:tc>
        <w:tc>
          <w:tcPr>
            <w:tcW w:w="1694" w:type="dxa"/>
          </w:tcPr>
          <w:p w14:paraId="71569572">
            <w:pPr>
              <w:rPr>
                <w:rFonts w:asciiTheme="minorEastAsia" w:hAnsiTheme="minorEastAsia" w:eastAsiaTheme="minorEastAsia"/>
                <w:sz w:val="24"/>
                <w:szCs w:val="24"/>
              </w:rPr>
            </w:pPr>
          </w:p>
        </w:tc>
        <w:tc>
          <w:tcPr>
            <w:tcW w:w="900" w:type="dxa"/>
          </w:tcPr>
          <w:p w14:paraId="2837F853">
            <w:pPr>
              <w:rPr>
                <w:rFonts w:asciiTheme="minorEastAsia" w:hAnsiTheme="minorEastAsia" w:eastAsiaTheme="minorEastAsia"/>
                <w:sz w:val="24"/>
                <w:szCs w:val="24"/>
              </w:rPr>
            </w:pPr>
          </w:p>
        </w:tc>
        <w:tc>
          <w:tcPr>
            <w:tcW w:w="1027" w:type="dxa"/>
          </w:tcPr>
          <w:p w14:paraId="7F6E391E">
            <w:pPr>
              <w:rPr>
                <w:rFonts w:asciiTheme="minorEastAsia" w:hAnsiTheme="minorEastAsia" w:eastAsiaTheme="minorEastAsia"/>
                <w:sz w:val="24"/>
                <w:szCs w:val="24"/>
              </w:rPr>
            </w:pPr>
          </w:p>
        </w:tc>
        <w:tc>
          <w:tcPr>
            <w:tcW w:w="720" w:type="dxa"/>
          </w:tcPr>
          <w:p w14:paraId="0B32EA1C">
            <w:pPr>
              <w:rPr>
                <w:rFonts w:asciiTheme="minorEastAsia" w:hAnsiTheme="minorEastAsia" w:eastAsiaTheme="minorEastAsia"/>
                <w:sz w:val="24"/>
                <w:szCs w:val="24"/>
              </w:rPr>
            </w:pPr>
          </w:p>
        </w:tc>
        <w:tc>
          <w:tcPr>
            <w:tcW w:w="977" w:type="dxa"/>
          </w:tcPr>
          <w:p w14:paraId="2B1550D8">
            <w:pPr>
              <w:rPr>
                <w:rFonts w:asciiTheme="minorEastAsia" w:hAnsiTheme="minorEastAsia" w:eastAsiaTheme="minorEastAsia"/>
                <w:sz w:val="24"/>
                <w:szCs w:val="24"/>
              </w:rPr>
            </w:pPr>
          </w:p>
        </w:tc>
      </w:tr>
    </w:tbl>
    <w:p w14:paraId="7E22C608">
      <w:pPr>
        <w:ind w:firstLine="482" w:firstLineChars="200"/>
        <w:rPr>
          <w:rFonts w:asciiTheme="minorEastAsia" w:hAnsiTheme="minorEastAsia" w:eastAsiaTheme="minorEastAsia"/>
          <w:b/>
          <w:bCs/>
          <w:sz w:val="24"/>
          <w:szCs w:val="24"/>
        </w:rPr>
      </w:pPr>
    </w:p>
    <w:p w14:paraId="37D32C7A">
      <w:pPr>
        <w:ind w:firstLine="482" w:firstLineChars="200"/>
        <w:rPr>
          <w:rFonts w:asciiTheme="minorEastAsia" w:hAnsiTheme="minorEastAsia" w:eastAsiaTheme="minorEastAsia"/>
          <w:b/>
          <w:bCs/>
          <w:sz w:val="24"/>
          <w:szCs w:val="24"/>
        </w:rPr>
      </w:pPr>
    </w:p>
    <w:tbl>
      <w:tblPr>
        <w:tblStyle w:val="16"/>
        <w:tblW w:w="74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262"/>
        <w:gridCol w:w="2604"/>
        <w:gridCol w:w="1705"/>
      </w:tblGrid>
      <w:tr w14:paraId="259BA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4E8C3140">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序号</w:t>
            </w:r>
          </w:p>
        </w:tc>
        <w:tc>
          <w:tcPr>
            <w:tcW w:w="2262" w:type="dxa"/>
          </w:tcPr>
          <w:p w14:paraId="203D3B9C">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服务名称</w:t>
            </w:r>
          </w:p>
        </w:tc>
        <w:tc>
          <w:tcPr>
            <w:tcW w:w="2604" w:type="dxa"/>
          </w:tcPr>
          <w:p w14:paraId="7FDCD459">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服务内容</w:t>
            </w:r>
          </w:p>
        </w:tc>
        <w:tc>
          <w:tcPr>
            <w:tcW w:w="1705" w:type="dxa"/>
          </w:tcPr>
          <w:p w14:paraId="387A6056">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价格（元）</w:t>
            </w:r>
          </w:p>
        </w:tc>
      </w:tr>
      <w:tr w14:paraId="77A23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68207908">
            <w:pPr>
              <w:ind w:right="-69" w:rightChars="-33"/>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2262" w:type="dxa"/>
          </w:tcPr>
          <w:p w14:paraId="08302EC4">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延续保修合同</w:t>
            </w:r>
          </w:p>
        </w:tc>
        <w:tc>
          <w:tcPr>
            <w:tcW w:w="2604" w:type="dxa"/>
          </w:tcPr>
          <w:p w14:paraId="2046E4F2">
            <w:pPr>
              <w:jc w:val="center"/>
              <w:rPr>
                <w:rFonts w:asciiTheme="minorEastAsia" w:hAnsiTheme="minorEastAsia" w:eastAsiaTheme="minorEastAsia"/>
                <w:b/>
                <w:bCs/>
                <w:sz w:val="24"/>
                <w:szCs w:val="24"/>
              </w:rPr>
            </w:pPr>
          </w:p>
        </w:tc>
        <w:tc>
          <w:tcPr>
            <w:tcW w:w="1705" w:type="dxa"/>
          </w:tcPr>
          <w:p w14:paraId="3DF554D9">
            <w:pPr>
              <w:jc w:val="center"/>
              <w:rPr>
                <w:rFonts w:asciiTheme="minorEastAsia" w:hAnsiTheme="minorEastAsia" w:eastAsiaTheme="minorEastAsia"/>
                <w:b/>
                <w:bCs/>
                <w:sz w:val="24"/>
                <w:szCs w:val="24"/>
              </w:rPr>
            </w:pPr>
          </w:p>
        </w:tc>
      </w:tr>
      <w:tr w14:paraId="46AA9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7B21AE09">
            <w:pPr>
              <w:ind w:right="-69" w:rightChars="-33"/>
              <w:jc w:val="center"/>
              <w:rPr>
                <w:rFonts w:asciiTheme="minorEastAsia" w:hAnsiTheme="minorEastAsia" w:eastAsiaTheme="minorEastAsia"/>
                <w:sz w:val="24"/>
                <w:szCs w:val="24"/>
              </w:rPr>
            </w:pPr>
          </w:p>
        </w:tc>
        <w:tc>
          <w:tcPr>
            <w:tcW w:w="2262" w:type="dxa"/>
          </w:tcPr>
          <w:p w14:paraId="49B13007">
            <w:pPr>
              <w:jc w:val="center"/>
              <w:rPr>
                <w:rFonts w:asciiTheme="minorEastAsia" w:hAnsiTheme="minorEastAsia" w:eastAsiaTheme="minorEastAsia"/>
                <w:sz w:val="24"/>
                <w:szCs w:val="24"/>
              </w:rPr>
            </w:pPr>
          </w:p>
        </w:tc>
        <w:tc>
          <w:tcPr>
            <w:tcW w:w="2604" w:type="dxa"/>
          </w:tcPr>
          <w:p w14:paraId="2713B3A6">
            <w:pPr>
              <w:jc w:val="center"/>
              <w:rPr>
                <w:rFonts w:asciiTheme="minorEastAsia" w:hAnsiTheme="minorEastAsia" w:eastAsiaTheme="minorEastAsia"/>
                <w:b/>
                <w:bCs/>
                <w:sz w:val="24"/>
                <w:szCs w:val="24"/>
              </w:rPr>
            </w:pPr>
          </w:p>
        </w:tc>
        <w:tc>
          <w:tcPr>
            <w:tcW w:w="1705" w:type="dxa"/>
          </w:tcPr>
          <w:p w14:paraId="2D47FFB5">
            <w:pPr>
              <w:jc w:val="center"/>
              <w:rPr>
                <w:rFonts w:asciiTheme="minorEastAsia" w:hAnsiTheme="minorEastAsia" w:eastAsiaTheme="minorEastAsia"/>
                <w:b/>
                <w:bCs/>
                <w:sz w:val="24"/>
                <w:szCs w:val="24"/>
              </w:rPr>
            </w:pPr>
          </w:p>
        </w:tc>
      </w:tr>
    </w:tbl>
    <w:p w14:paraId="1E3110F6">
      <w:pPr>
        <w:ind w:firstLine="482" w:firstLineChars="200"/>
        <w:jc w:val="center"/>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（三）供应商认为需要涉及的其他内容报价清单</w:t>
      </w:r>
    </w:p>
    <w:p w14:paraId="3432E04A">
      <w:pPr>
        <w:spacing w:line="480" w:lineRule="auto"/>
        <w:jc w:val="left"/>
        <w:rPr>
          <w:rFonts w:cs="宋体" w:asciiTheme="minorEastAsia" w:hAnsiTheme="minorEastAsia" w:eastAsiaTheme="minorEastAsia"/>
          <w:sz w:val="24"/>
          <w:szCs w:val="24"/>
        </w:rPr>
      </w:pPr>
    </w:p>
    <w:p w14:paraId="0665E326">
      <w:pPr>
        <w:spacing w:line="480" w:lineRule="auto"/>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投标人名称（公章）：</w:t>
      </w:r>
      <w:r>
        <w:rPr>
          <w:rFonts w:hint="eastAsia" w:cs="宋体" w:asciiTheme="minorEastAsia" w:hAnsiTheme="minorEastAsia" w:eastAsiaTheme="minorEastAsia"/>
          <w:sz w:val="24"/>
          <w:szCs w:val="24"/>
          <w:u w:val="single"/>
        </w:rPr>
        <w:t xml:space="preserve">                            </w:t>
      </w:r>
      <w:r>
        <w:rPr>
          <w:rFonts w:hint="eastAsia" w:cs="宋体" w:asciiTheme="minorEastAsia" w:hAnsiTheme="minorEastAsia" w:eastAsiaTheme="minorEastAsia"/>
          <w:sz w:val="24"/>
          <w:szCs w:val="24"/>
        </w:rPr>
        <w:t xml:space="preserve">  </w:t>
      </w:r>
    </w:p>
    <w:p w14:paraId="68A6A3D2">
      <w:pPr>
        <w:pStyle w:val="27"/>
        <w:spacing w:line="48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投标人代表（签字）：</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 xml:space="preserve">  </w:t>
      </w:r>
    </w:p>
    <w:p w14:paraId="2F0826C6">
      <w:pPr>
        <w:spacing w:line="300" w:lineRule="auto"/>
        <w:rPr>
          <w:rFonts w:cs="宋体" w:asciiTheme="minorEastAsia" w:hAnsiTheme="minorEastAsia" w:eastAsiaTheme="minorEastAsia"/>
          <w:kern w:val="0"/>
          <w:sz w:val="24"/>
          <w:szCs w:val="24"/>
        </w:rPr>
      </w:pPr>
      <w:r>
        <w:rPr>
          <w:rFonts w:hint="eastAsia" w:cs="宋体" w:asciiTheme="minorEastAsia" w:hAnsiTheme="minorEastAsia" w:eastAsiaTheme="minorEastAsia"/>
          <w:sz w:val="24"/>
          <w:szCs w:val="24"/>
        </w:rPr>
        <w:t>日        期：</w:t>
      </w:r>
      <w:r>
        <w:rPr>
          <w:rFonts w:hint="eastAsia" w:cs="宋体" w:asciiTheme="minorEastAsia" w:hAnsiTheme="minorEastAsia" w:eastAsiaTheme="minorEastAsia"/>
          <w:kern w:val="0"/>
          <w:sz w:val="24"/>
          <w:szCs w:val="24"/>
          <w:u w:val="single"/>
        </w:rPr>
        <w:t xml:space="preserve">                                 </w:t>
      </w:r>
    </w:p>
    <w:p w14:paraId="4A5B3F4C">
      <w:pPr>
        <w:spacing w:line="300" w:lineRule="auto"/>
        <w:jc w:val="left"/>
        <w:rPr>
          <w:rFonts w:asciiTheme="minorEastAsia" w:hAnsiTheme="minorEastAsia" w:eastAsiaTheme="minorEastAsia"/>
          <w:sz w:val="24"/>
          <w:szCs w:val="24"/>
        </w:rPr>
      </w:pPr>
    </w:p>
    <w:p w14:paraId="3B9475E0">
      <w:pPr>
        <w:spacing w:line="300" w:lineRule="auto"/>
        <w:jc w:val="left"/>
        <w:rPr>
          <w:rFonts w:asciiTheme="minorEastAsia" w:hAnsiTheme="minorEastAsia" w:eastAsiaTheme="minorEastAsia"/>
          <w:sz w:val="24"/>
          <w:szCs w:val="24"/>
        </w:rPr>
      </w:pPr>
    </w:p>
    <w:p w14:paraId="01C3A5F9">
      <w:pPr>
        <w:spacing w:line="300" w:lineRule="auto"/>
        <w:rPr>
          <w:rFonts w:asciiTheme="minorEastAsia" w:hAnsiTheme="minorEastAsia" w:eastAsiaTheme="minorEastAsia"/>
          <w:b/>
          <w:bCs/>
          <w:sz w:val="24"/>
          <w:szCs w:val="24"/>
        </w:rPr>
      </w:pPr>
      <w:r>
        <w:rPr>
          <w:rFonts w:asciiTheme="minorEastAsia" w:hAnsiTheme="minorEastAsia" w:eastAsiaTheme="minorEastAsia"/>
          <w:sz w:val="24"/>
          <w:szCs w:val="24"/>
        </w:rPr>
        <w:br w:type="page"/>
      </w:r>
      <w:bookmarkStart w:id="25" w:name="_Toc309632085"/>
    </w:p>
    <w:p w14:paraId="77C8F5BB">
      <w:pPr>
        <w:spacing w:line="360" w:lineRule="auto"/>
        <w:jc w:val="center"/>
        <w:rPr>
          <w:rFonts w:asciiTheme="minorEastAsia" w:hAnsiTheme="minorEastAsia" w:eastAsiaTheme="minorEastAsia"/>
          <w:b/>
          <w:bCs/>
          <w:sz w:val="24"/>
          <w:szCs w:val="24"/>
        </w:rPr>
      </w:pPr>
      <w:bookmarkStart w:id="26" w:name="_Toc313109532"/>
      <w:r>
        <w:rPr>
          <w:rFonts w:hint="eastAsia" w:asciiTheme="minorEastAsia" w:hAnsiTheme="minorEastAsia" w:eastAsiaTheme="minorEastAsia"/>
          <w:b/>
          <w:bCs/>
          <w:sz w:val="24"/>
          <w:szCs w:val="24"/>
        </w:rPr>
        <w:t>六、货物说明一览表</w:t>
      </w:r>
      <w:bookmarkEnd w:id="25"/>
      <w:bookmarkEnd w:id="26"/>
    </w:p>
    <w:p w14:paraId="1182D334">
      <w:pPr>
        <w:pStyle w:val="9"/>
        <w:jc w:val="left"/>
        <w:rPr>
          <w:rFonts w:asciiTheme="minorEastAsia" w:hAnsiTheme="minorEastAsia" w:eastAsiaTheme="minorEastAsia"/>
          <w:sz w:val="24"/>
          <w:szCs w:val="24"/>
        </w:rPr>
      </w:pPr>
    </w:p>
    <w:tbl>
      <w:tblPr>
        <w:tblStyle w:val="16"/>
        <w:tblW w:w="82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7"/>
        <w:gridCol w:w="3290"/>
        <w:gridCol w:w="1376"/>
        <w:gridCol w:w="698"/>
        <w:gridCol w:w="1994"/>
      </w:tblGrid>
      <w:tr w14:paraId="6E2E9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97" w:type="dxa"/>
            <w:vAlign w:val="center"/>
          </w:tcPr>
          <w:p w14:paraId="607A6D0A">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序号</w:t>
            </w:r>
          </w:p>
        </w:tc>
        <w:tc>
          <w:tcPr>
            <w:tcW w:w="3290" w:type="dxa"/>
            <w:vAlign w:val="center"/>
          </w:tcPr>
          <w:p w14:paraId="37180890">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货物名称</w:t>
            </w:r>
          </w:p>
        </w:tc>
        <w:tc>
          <w:tcPr>
            <w:tcW w:w="1376" w:type="dxa"/>
            <w:vAlign w:val="center"/>
          </w:tcPr>
          <w:p w14:paraId="570B5A9C">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型号/规格</w:t>
            </w:r>
          </w:p>
        </w:tc>
        <w:tc>
          <w:tcPr>
            <w:tcW w:w="698" w:type="dxa"/>
            <w:vAlign w:val="center"/>
          </w:tcPr>
          <w:p w14:paraId="04E309AC">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数量</w:t>
            </w:r>
          </w:p>
        </w:tc>
        <w:tc>
          <w:tcPr>
            <w:tcW w:w="1994" w:type="dxa"/>
            <w:vAlign w:val="center"/>
          </w:tcPr>
          <w:p w14:paraId="06994881">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其他</w:t>
            </w:r>
          </w:p>
        </w:tc>
      </w:tr>
      <w:tr w14:paraId="7D7DA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897" w:type="dxa"/>
            <w:vAlign w:val="center"/>
          </w:tcPr>
          <w:p w14:paraId="37EA7E88">
            <w:pPr>
              <w:pStyle w:val="9"/>
              <w:rPr>
                <w:rFonts w:asciiTheme="minorEastAsia" w:hAnsiTheme="minorEastAsia" w:eastAsiaTheme="minorEastAsia"/>
                <w:sz w:val="24"/>
                <w:szCs w:val="24"/>
              </w:rPr>
            </w:pPr>
          </w:p>
        </w:tc>
        <w:tc>
          <w:tcPr>
            <w:tcW w:w="3290" w:type="dxa"/>
            <w:vAlign w:val="center"/>
          </w:tcPr>
          <w:p w14:paraId="387F63A0">
            <w:pPr>
              <w:pStyle w:val="9"/>
              <w:rPr>
                <w:rFonts w:asciiTheme="minorEastAsia" w:hAnsiTheme="minorEastAsia" w:eastAsiaTheme="minorEastAsia"/>
                <w:sz w:val="24"/>
                <w:szCs w:val="24"/>
              </w:rPr>
            </w:pPr>
          </w:p>
        </w:tc>
        <w:tc>
          <w:tcPr>
            <w:tcW w:w="1376" w:type="dxa"/>
            <w:vAlign w:val="center"/>
          </w:tcPr>
          <w:p w14:paraId="6D28F79E">
            <w:pPr>
              <w:pStyle w:val="9"/>
              <w:rPr>
                <w:rFonts w:asciiTheme="minorEastAsia" w:hAnsiTheme="minorEastAsia" w:eastAsiaTheme="minorEastAsia"/>
                <w:sz w:val="24"/>
                <w:szCs w:val="24"/>
              </w:rPr>
            </w:pPr>
          </w:p>
        </w:tc>
        <w:tc>
          <w:tcPr>
            <w:tcW w:w="698" w:type="dxa"/>
            <w:vAlign w:val="center"/>
          </w:tcPr>
          <w:p w14:paraId="198CC35D">
            <w:pPr>
              <w:pStyle w:val="9"/>
              <w:jc w:val="left"/>
              <w:rPr>
                <w:rFonts w:asciiTheme="minorEastAsia" w:hAnsiTheme="minorEastAsia" w:eastAsiaTheme="minorEastAsia"/>
                <w:sz w:val="24"/>
                <w:szCs w:val="24"/>
              </w:rPr>
            </w:pPr>
          </w:p>
        </w:tc>
        <w:tc>
          <w:tcPr>
            <w:tcW w:w="1994" w:type="dxa"/>
            <w:vAlign w:val="center"/>
          </w:tcPr>
          <w:p w14:paraId="092B89FB">
            <w:pPr>
              <w:pStyle w:val="9"/>
              <w:jc w:val="left"/>
              <w:rPr>
                <w:rFonts w:asciiTheme="minorEastAsia" w:hAnsiTheme="minorEastAsia" w:eastAsiaTheme="minorEastAsia"/>
                <w:sz w:val="24"/>
                <w:szCs w:val="24"/>
              </w:rPr>
            </w:pPr>
          </w:p>
        </w:tc>
      </w:tr>
      <w:tr w14:paraId="515C7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jc w:val="center"/>
        </w:trPr>
        <w:tc>
          <w:tcPr>
            <w:tcW w:w="897" w:type="dxa"/>
            <w:vAlign w:val="center"/>
          </w:tcPr>
          <w:p w14:paraId="1D7FAF76">
            <w:pPr>
              <w:pStyle w:val="9"/>
              <w:rPr>
                <w:rFonts w:asciiTheme="minorEastAsia" w:hAnsiTheme="minorEastAsia" w:eastAsiaTheme="minorEastAsia"/>
                <w:sz w:val="24"/>
                <w:szCs w:val="24"/>
              </w:rPr>
            </w:pPr>
          </w:p>
        </w:tc>
        <w:tc>
          <w:tcPr>
            <w:tcW w:w="3290" w:type="dxa"/>
            <w:vAlign w:val="center"/>
          </w:tcPr>
          <w:p w14:paraId="11E41098">
            <w:pPr>
              <w:pStyle w:val="9"/>
              <w:rPr>
                <w:rFonts w:asciiTheme="minorEastAsia" w:hAnsiTheme="minorEastAsia" w:eastAsiaTheme="minorEastAsia"/>
                <w:sz w:val="24"/>
                <w:szCs w:val="24"/>
              </w:rPr>
            </w:pPr>
          </w:p>
        </w:tc>
        <w:tc>
          <w:tcPr>
            <w:tcW w:w="1376" w:type="dxa"/>
            <w:vAlign w:val="center"/>
          </w:tcPr>
          <w:p w14:paraId="2B1D3BF9">
            <w:pPr>
              <w:pStyle w:val="9"/>
              <w:rPr>
                <w:rFonts w:asciiTheme="minorEastAsia" w:hAnsiTheme="minorEastAsia" w:eastAsiaTheme="minorEastAsia"/>
                <w:sz w:val="24"/>
                <w:szCs w:val="24"/>
              </w:rPr>
            </w:pPr>
          </w:p>
        </w:tc>
        <w:tc>
          <w:tcPr>
            <w:tcW w:w="698" w:type="dxa"/>
            <w:vAlign w:val="center"/>
          </w:tcPr>
          <w:p w14:paraId="02A0CC71">
            <w:pPr>
              <w:pStyle w:val="9"/>
              <w:jc w:val="left"/>
              <w:rPr>
                <w:rFonts w:asciiTheme="minorEastAsia" w:hAnsiTheme="minorEastAsia" w:eastAsiaTheme="minorEastAsia"/>
                <w:sz w:val="24"/>
                <w:szCs w:val="24"/>
              </w:rPr>
            </w:pPr>
          </w:p>
        </w:tc>
        <w:tc>
          <w:tcPr>
            <w:tcW w:w="1994" w:type="dxa"/>
            <w:vAlign w:val="center"/>
          </w:tcPr>
          <w:p w14:paraId="3B0F435B">
            <w:pPr>
              <w:pStyle w:val="9"/>
              <w:jc w:val="left"/>
              <w:rPr>
                <w:rFonts w:asciiTheme="minorEastAsia" w:hAnsiTheme="minorEastAsia" w:eastAsiaTheme="minorEastAsia"/>
                <w:sz w:val="24"/>
                <w:szCs w:val="24"/>
              </w:rPr>
            </w:pPr>
          </w:p>
        </w:tc>
      </w:tr>
      <w:tr w14:paraId="606BE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jc w:val="center"/>
        </w:trPr>
        <w:tc>
          <w:tcPr>
            <w:tcW w:w="897" w:type="dxa"/>
            <w:vAlign w:val="center"/>
          </w:tcPr>
          <w:p w14:paraId="255DE695">
            <w:pPr>
              <w:pStyle w:val="9"/>
              <w:rPr>
                <w:rFonts w:asciiTheme="minorEastAsia" w:hAnsiTheme="minorEastAsia" w:eastAsiaTheme="minorEastAsia"/>
                <w:sz w:val="24"/>
                <w:szCs w:val="24"/>
              </w:rPr>
            </w:pPr>
          </w:p>
        </w:tc>
        <w:tc>
          <w:tcPr>
            <w:tcW w:w="3290" w:type="dxa"/>
            <w:vAlign w:val="center"/>
          </w:tcPr>
          <w:p w14:paraId="6DB30931">
            <w:pPr>
              <w:pStyle w:val="9"/>
              <w:rPr>
                <w:rFonts w:asciiTheme="minorEastAsia" w:hAnsiTheme="minorEastAsia" w:eastAsiaTheme="minorEastAsia"/>
                <w:sz w:val="24"/>
                <w:szCs w:val="24"/>
              </w:rPr>
            </w:pPr>
          </w:p>
        </w:tc>
        <w:tc>
          <w:tcPr>
            <w:tcW w:w="1376" w:type="dxa"/>
            <w:vAlign w:val="center"/>
          </w:tcPr>
          <w:p w14:paraId="37BB80AC">
            <w:pPr>
              <w:pStyle w:val="9"/>
              <w:rPr>
                <w:rFonts w:asciiTheme="minorEastAsia" w:hAnsiTheme="minorEastAsia" w:eastAsiaTheme="minorEastAsia"/>
                <w:sz w:val="24"/>
                <w:szCs w:val="24"/>
              </w:rPr>
            </w:pPr>
          </w:p>
        </w:tc>
        <w:tc>
          <w:tcPr>
            <w:tcW w:w="698" w:type="dxa"/>
            <w:vAlign w:val="center"/>
          </w:tcPr>
          <w:p w14:paraId="2D0FE999">
            <w:pPr>
              <w:pStyle w:val="9"/>
              <w:jc w:val="left"/>
              <w:rPr>
                <w:rFonts w:asciiTheme="minorEastAsia" w:hAnsiTheme="minorEastAsia" w:eastAsiaTheme="minorEastAsia"/>
                <w:sz w:val="24"/>
                <w:szCs w:val="24"/>
              </w:rPr>
            </w:pPr>
          </w:p>
        </w:tc>
        <w:tc>
          <w:tcPr>
            <w:tcW w:w="1994" w:type="dxa"/>
            <w:vAlign w:val="center"/>
          </w:tcPr>
          <w:p w14:paraId="45E61066">
            <w:pPr>
              <w:pStyle w:val="9"/>
              <w:jc w:val="left"/>
              <w:rPr>
                <w:rFonts w:asciiTheme="minorEastAsia" w:hAnsiTheme="minorEastAsia" w:eastAsiaTheme="minorEastAsia"/>
                <w:sz w:val="24"/>
                <w:szCs w:val="24"/>
              </w:rPr>
            </w:pPr>
          </w:p>
        </w:tc>
      </w:tr>
      <w:tr w14:paraId="32A4C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9" w:hRule="atLeast"/>
          <w:jc w:val="center"/>
        </w:trPr>
        <w:tc>
          <w:tcPr>
            <w:tcW w:w="897" w:type="dxa"/>
            <w:vAlign w:val="center"/>
          </w:tcPr>
          <w:p w14:paraId="78BD140B">
            <w:pPr>
              <w:pStyle w:val="9"/>
              <w:rPr>
                <w:rFonts w:asciiTheme="minorEastAsia" w:hAnsiTheme="minorEastAsia" w:eastAsiaTheme="minorEastAsia"/>
                <w:sz w:val="24"/>
                <w:szCs w:val="24"/>
              </w:rPr>
            </w:pPr>
          </w:p>
        </w:tc>
        <w:tc>
          <w:tcPr>
            <w:tcW w:w="3290" w:type="dxa"/>
            <w:vAlign w:val="center"/>
          </w:tcPr>
          <w:p w14:paraId="07472F4C">
            <w:pPr>
              <w:pStyle w:val="9"/>
              <w:rPr>
                <w:rFonts w:asciiTheme="minorEastAsia" w:hAnsiTheme="minorEastAsia" w:eastAsiaTheme="minorEastAsia"/>
                <w:sz w:val="24"/>
                <w:szCs w:val="24"/>
              </w:rPr>
            </w:pPr>
          </w:p>
        </w:tc>
        <w:tc>
          <w:tcPr>
            <w:tcW w:w="1376" w:type="dxa"/>
            <w:vAlign w:val="center"/>
          </w:tcPr>
          <w:p w14:paraId="33A6FD64">
            <w:pPr>
              <w:pStyle w:val="9"/>
              <w:rPr>
                <w:rFonts w:asciiTheme="minorEastAsia" w:hAnsiTheme="minorEastAsia" w:eastAsiaTheme="minorEastAsia"/>
                <w:sz w:val="24"/>
                <w:szCs w:val="24"/>
              </w:rPr>
            </w:pPr>
          </w:p>
        </w:tc>
        <w:tc>
          <w:tcPr>
            <w:tcW w:w="698" w:type="dxa"/>
            <w:vAlign w:val="center"/>
          </w:tcPr>
          <w:p w14:paraId="16F691BF">
            <w:pPr>
              <w:pStyle w:val="9"/>
              <w:jc w:val="left"/>
              <w:rPr>
                <w:rFonts w:asciiTheme="minorEastAsia" w:hAnsiTheme="minorEastAsia" w:eastAsiaTheme="minorEastAsia"/>
                <w:sz w:val="24"/>
                <w:szCs w:val="24"/>
              </w:rPr>
            </w:pPr>
          </w:p>
        </w:tc>
        <w:tc>
          <w:tcPr>
            <w:tcW w:w="1994" w:type="dxa"/>
            <w:vAlign w:val="center"/>
          </w:tcPr>
          <w:p w14:paraId="76656EA7">
            <w:pPr>
              <w:pStyle w:val="9"/>
              <w:jc w:val="left"/>
              <w:rPr>
                <w:rFonts w:asciiTheme="minorEastAsia" w:hAnsiTheme="minorEastAsia" w:eastAsiaTheme="minorEastAsia"/>
                <w:sz w:val="24"/>
                <w:szCs w:val="24"/>
              </w:rPr>
            </w:pPr>
          </w:p>
        </w:tc>
      </w:tr>
      <w:tr w14:paraId="21156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9" w:hRule="atLeast"/>
          <w:jc w:val="center"/>
        </w:trPr>
        <w:tc>
          <w:tcPr>
            <w:tcW w:w="897" w:type="dxa"/>
            <w:vAlign w:val="center"/>
          </w:tcPr>
          <w:p w14:paraId="53A3B5B8">
            <w:pPr>
              <w:pStyle w:val="9"/>
              <w:rPr>
                <w:rFonts w:asciiTheme="minorEastAsia" w:hAnsiTheme="minorEastAsia" w:eastAsiaTheme="minorEastAsia"/>
                <w:sz w:val="24"/>
                <w:szCs w:val="24"/>
              </w:rPr>
            </w:pPr>
          </w:p>
        </w:tc>
        <w:tc>
          <w:tcPr>
            <w:tcW w:w="3290" w:type="dxa"/>
            <w:vAlign w:val="center"/>
          </w:tcPr>
          <w:p w14:paraId="1BF1B61E">
            <w:pPr>
              <w:pStyle w:val="9"/>
              <w:rPr>
                <w:rFonts w:asciiTheme="minorEastAsia" w:hAnsiTheme="minorEastAsia" w:eastAsiaTheme="minorEastAsia"/>
                <w:sz w:val="24"/>
                <w:szCs w:val="24"/>
              </w:rPr>
            </w:pPr>
          </w:p>
          <w:p w14:paraId="2B21AD24">
            <w:pPr>
              <w:pStyle w:val="9"/>
              <w:rPr>
                <w:rFonts w:asciiTheme="minorEastAsia" w:hAnsiTheme="minorEastAsia" w:eastAsiaTheme="minorEastAsia"/>
                <w:sz w:val="24"/>
                <w:szCs w:val="24"/>
              </w:rPr>
            </w:pPr>
          </w:p>
        </w:tc>
        <w:tc>
          <w:tcPr>
            <w:tcW w:w="1376" w:type="dxa"/>
            <w:vAlign w:val="center"/>
          </w:tcPr>
          <w:p w14:paraId="72978667">
            <w:pPr>
              <w:pStyle w:val="9"/>
              <w:rPr>
                <w:rFonts w:asciiTheme="minorEastAsia" w:hAnsiTheme="minorEastAsia" w:eastAsiaTheme="minorEastAsia"/>
                <w:sz w:val="24"/>
                <w:szCs w:val="24"/>
              </w:rPr>
            </w:pPr>
          </w:p>
        </w:tc>
        <w:tc>
          <w:tcPr>
            <w:tcW w:w="698" w:type="dxa"/>
            <w:vAlign w:val="center"/>
          </w:tcPr>
          <w:p w14:paraId="34CC157E">
            <w:pPr>
              <w:pStyle w:val="9"/>
              <w:jc w:val="left"/>
              <w:rPr>
                <w:rFonts w:asciiTheme="minorEastAsia" w:hAnsiTheme="minorEastAsia" w:eastAsiaTheme="minorEastAsia"/>
                <w:sz w:val="24"/>
                <w:szCs w:val="24"/>
              </w:rPr>
            </w:pPr>
          </w:p>
        </w:tc>
        <w:tc>
          <w:tcPr>
            <w:tcW w:w="1994" w:type="dxa"/>
            <w:vAlign w:val="center"/>
          </w:tcPr>
          <w:p w14:paraId="6E1BAF48">
            <w:pPr>
              <w:pStyle w:val="9"/>
              <w:jc w:val="left"/>
              <w:rPr>
                <w:rFonts w:asciiTheme="minorEastAsia" w:hAnsiTheme="minorEastAsia" w:eastAsiaTheme="minorEastAsia"/>
                <w:sz w:val="24"/>
                <w:szCs w:val="24"/>
              </w:rPr>
            </w:pPr>
          </w:p>
        </w:tc>
      </w:tr>
      <w:tr w14:paraId="26EE0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9" w:hRule="atLeast"/>
          <w:jc w:val="center"/>
        </w:trPr>
        <w:tc>
          <w:tcPr>
            <w:tcW w:w="897" w:type="dxa"/>
            <w:vAlign w:val="center"/>
          </w:tcPr>
          <w:p w14:paraId="191A42B9">
            <w:pPr>
              <w:pStyle w:val="9"/>
              <w:rPr>
                <w:rFonts w:asciiTheme="minorEastAsia" w:hAnsiTheme="minorEastAsia" w:eastAsiaTheme="minorEastAsia"/>
                <w:sz w:val="24"/>
                <w:szCs w:val="24"/>
              </w:rPr>
            </w:pPr>
          </w:p>
        </w:tc>
        <w:tc>
          <w:tcPr>
            <w:tcW w:w="3290" w:type="dxa"/>
            <w:vAlign w:val="center"/>
          </w:tcPr>
          <w:p w14:paraId="61E3669D">
            <w:pPr>
              <w:pStyle w:val="9"/>
              <w:rPr>
                <w:rFonts w:asciiTheme="minorEastAsia" w:hAnsiTheme="minorEastAsia" w:eastAsiaTheme="minorEastAsia"/>
                <w:sz w:val="24"/>
                <w:szCs w:val="24"/>
              </w:rPr>
            </w:pPr>
          </w:p>
        </w:tc>
        <w:tc>
          <w:tcPr>
            <w:tcW w:w="1376" w:type="dxa"/>
            <w:vAlign w:val="center"/>
          </w:tcPr>
          <w:p w14:paraId="534559D1">
            <w:pPr>
              <w:pStyle w:val="9"/>
              <w:rPr>
                <w:rFonts w:asciiTheme="minorEastAsia" w:hAnsiTheme="minorEastAsia" w:eastAsiaTheme="minorEastAsia"/>
                <w:sz w:val="24"/>
                <w:szCs w:val="24"/>
              </w:rPr>
            </w:pPr>
          </w:p>
        </w:tc>
        <w:tc>
          <w:tcPr>
            <w:tcW w:w="698" w:type="dxa"/>
            <w:vAlign w:val="center"/>
          </w:tcPr>
          <w:p w14:paraId="77969DA7">
            <w:pPr>
              <w:pStyle w:val="9"/>
              <w:jc w:val="left"/>
              <w:rPr>
                <w:rFonts w:asciiTheme="minorEastAsia" w:hAnsiTheme="minorEastAsia" w:eastAsiaTheme="minorEastAsia"/>
                <w:sz w:val="24"/>
                <w:szCs w:val="24"/>
              </w:rPr>
            </w:pPr>
          </w:p>
        </w:tc>
        <w:tc>
          <w:tcPr>
            <w:tcW w:w="1994" w:type="dxa"/>
            <w:vAlign w:val="center"/>
          </w:tcPr>
          <w:p w14:paraId="3ACFD456">
            <w:pPr>
              <w:pStyle w:val="9"/>
              <w:jc w:val="left"/>
              <w:rPr>
                <w:rFonts w:asciiTheme="minorEastAsia" w:hAnsiTheme="minorEastAsia" w:eastAsiaTheme="minorEastAsia"/>
                <w:sz w:val="24"/>
                <w:szCs w:val="24"/>
              </w:rPr>
            </w:pPr>
          </w:p>
        </w:tc>
      </w:tr>
    </w:tbl>
    <w:p w14:paraId="0529266A">
      <w:pPr>
        <w:pStyle w:val="9"/>
        <w:jc w:val="left"/>
        <w:rPr>
          <w:rFonts w:asciiTheme="minorEastAsia" w:hAnsiTheme="minorEastAsia" w:eastAsiaTheme="minorEastAsia"/>
          <w:sz w:val="24"/>
          <w:szCs w:val="24"/>
        </w:rPr>
      </w:pPr>
    </w:p>
    <w:p w14:paraId="50193F8B">
      <w:pPr>
        <w:pStyle w:val="9"/>
        <w:ind w:firstLine="960" w:firstLineChars="4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提示：提供制造商出具的产品中文说明书、彩页、照片等相关资料。</w:t>
      </w:r>
    </w:p>
    <w:p w14:paraId="7E2746FE">
      <w:pPr>
        <w:jc w:val="center"/>
        <w:rPr>
          <w:rFonts w:asciiTheme="minorEastAsia" w:hAnsiTheme="minorEastAsia" w:eastAsiaTheme="minorEastAsia"/>
          <w:b/>
          <w:sz w:val="24"/>
          <w:szCs w:val="24"/>
        </w:rPr>
      </w:pPr>
      <w:r>
        <w:rPr>
          <w:rFonts w:cs="宋体" w:asciiTheme="minorEastAsia" w:hAnsiTheme="minorEastAsia" w:eastAsiaTheme="minorEastAsia"/>
          <w:spacing w:val="8"/>
          <w:kern w:val="0"/>
          <w:sz w:val="24"/>
          <w:szCs w:val="24"/>
        </w:rPr>
        <w:br w:type="page"/>
      </w:r>
      <w:r>
        <w:rPr>
          <w:rFonts w:hint="eastAsia" w:asciiTheme="minorEastAsia" w:hAnsiTheme="minorEastAsia" w:eastAsiaTheme="minorEastAsia"/>
          <w:b/>
          <w:bCs/>
          <w:sz w:val="24"/>
          <w:szCs w:val="24"/>
        </w:rPr>
        <w:t>七、诚信情况承诺函</w:t>
      </w:r>
    </w:p>
    <w:p w14:paraId="36239723">
      <w:pPr>
        <w:spacing w:line="312" w:lineRule="auto"/>
        <w:rPr>
          <w:rFonts w:asciiTheme="minorEastAsia" w:hAnsiTheme="minorEastAsia" w:eastAsiaTheme="minorEastAsia"/>
          <w:sz w:val="24"/>
          <w:szCs w:val="24"/>
        </w:rPr>
      </w:pPr>
    </w:p>
    <w:p w14:paraId="61F19AB1">
      <w:pPr>
        <w:spacing w:line="360" w:lineRule="auto"/>
        <w:rPr>
          <w:rFonts w:hint="eastAsia" w:asciiTheme="minorEastAsia" w:hAnsiTheme="minorEastAsia" w:eastAsiaTheme="minorEastAsia"/>
          <w:i/>
          <w:iCs/>
          <w:sz w:val="24"/>
          <w:szCs w:val="24"/>
          <w:lang w:eastAsia="zh-CN"/>
        </w:rPr>
      </w:pPr>
      <w:r>
        <w:rPr>
          <w:rFonts w:hint="eastAsia" w:asciiTheme="minorEastAsia" w:hAnsiTheme="minorEastAsia" w:eastAsiaTheme="minorEastAsia"/>
          <w:sz w:val="24"/>
          <w:szCs w:val="24"/>
        </w:rPr>
        <w:t>致：</w:t>
      </w:r>
      <w:r>
        <w:rPr>
          <w:rFonts w:hint="eastAsia" w:asciiTheme="minorEastAsia" w:hAnsiTheme="minorEastAsia" w:eastAsiaTheme="minorEastAsia"/>
          <w:sz w:val="24"/>
          <w:szCs w:val="24"/>
          <w:lang w:eastAsia="zh-CN"/>
        </w:rPr>
        <w:t>深圳市新华医院</w:t>
      </w:r>
    </w:p>
    <w:p w14:paraId="701B7BA6">
      <w:pPr>
        <w:spacing w:line="360" w:lineRule="auto"/>
        <w:ind w:firstLine="525"/>
        <w:rPr>
          <w:rFonts w:asciiTheme="minorEastAsia" w:hAnsiTheme="minorEastAsia" w:eastAsiaTheme="minorEastAsia"/>
          <w:sz w:val="24"/>
          <w:szCs w:val="24"/>
        </w:rPr>
      </w:pPr>
      <w:r>
        <w:rPr>
          <w:rFonts w:hint="eastAsia" w:asciiTheme="minorEastAsia" w:hAnsiTheme="minorEastAsia" w:eastAsiaTheme="minorEastAsia"/>
          <w:sz w:val="24"/>
          <w:szCs w:val="24"/>
        </w:rPr>
        <w:t>我司参加贵</w:t>
      </w:r>
      <w:r>
        <w:rPr>
          <w:rFonts w:hint="eastAsia" w:asciiTheme="minorEastAsia" w:hAnsiTheme="minorEastAsia" w:eastAsiaTheme="minorEastAsia"/>
          <w:sz w:val="24"/>
          <w:szCs w:val="24"/>
          <w:u w:val="single"/>
        </w:rPr>
        <w:t xml:space="preserve">院                     </w:t>
      </w:r>
      <w:r>
        <w:rPr>
          <w:rFonts w:hint="eastAsia" w:asciiTheme="minorEastAsia" w:hAnsiTheme="minorEastAsia" w:eastAsiaTheme="minorEastAsia"/>
          <w:sz w:val="24"/>
          <w:szCs w:val="24"/>
        </w:rPr>
        <w:t>招标项目投标，在此郑重承诺：</w:t>
      </w:r>
    </w:p>
    <w:p w14:paraId="30242CB6">
      <w:pPr>
        <w:spacing w:line="360" w:lineRule="auto"/>
        <w:ind w:firstLine="525"/>
        <w:rPr>
          <w:rFonts w:asciiTheme="minorEastAsia" w:hAnsiTheme="minorEastAsia" w:eastAsiaTheme="minorEastAsia"/>
          <w:sz w:val="24"/>
          <w:szCs w:val="24"/>
        </w:rPr>
      </w:pPr>
      <w:r>
        <w:rPr>
          <w:rFonts w:hint="eastAsia" w:asciiTheme="minorEastAsia" w:hAnsiTheme="minorEastAsia" w:eastAsiaTheme="minorEastAsia"/>
          <w:sz w:val="24"/>
          <w:szCs w:val="24"/>
        </w:rPr>
        <w:t>1、我司未</w:t>
      </w:r>
      <w:r>
        <w:rPr>
          <w:rFonts w:asciiTheme="minorEastAsia" w:hAnsiTheme="minorEastAsia" w:eastAsiaTheme="minorEastAsia"/>
          <w:sz w:val="24"/>
          <w:szCs w:val="24"/>
        </w:rPr>
        <w:t>在政府采购活动中出现以下情形之一</w:t>
      </w:r>
      <w:r>
        <w:rPr>
          <w:rFonts w:hint="eastAsia" w:asciiTheme="minorEastAsia" w:hAnsiTheme="minorEastAsia" w:eastAsiaTheme="minorEastAsia"/>
          <w:sz w:val="24"/>
          <w:szCs w:val="24"/>
        </w:rPr>
        <w:t>：</w:t>
      </w:r>
    </w:p>
    <w:p w14:paraId="695F013C">
      <w:pPr>
        <w:numPr>
          <w:ilvl w:val="1"/>
          <w:numId w:val="4"/>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被纪检监察部门立案调查，违法违规事实成立的；</w:t>
      </w:r>
    </w:p>
    <w:p w14:paraId="789238D6">
      <w:pPr>
        <w:numPr>
          <w:ilvl w:val="1"/>
          <w:numId w:val="4"/>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未按规定签订、履行采购合同，造成严重后果的；</w:t>
      </w:r>
    </w:p>
    <w:p w14:paraId="24186E23">
      <w:pPr>
        <w:numPr>
          <w:ilvl w:val="1"/>
          <w:numId w:val="4"/>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隐瞒真实情况，提供虚假资料的；</w:t>
      </w:r>
    </w:p>
    <w:p w14:paraId="630AF1C0">
      <w:pPr>
        <w:numPr>
          <w:ilvl w:val="1"/>
          <w:numId w:val="4"/>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以非法手段排斥其他供应商参与竞争的；</w:t>
      </w:r>
    </w:p>
    <w:p w14:paraId="455EBE64">
      <w:pPr>
        <w:numPr>
          <w:ilvl w:val="1"/>
          <w:numId w:val="4"/>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与其他采购参加人串通投标的；</w:t>
      </w:r>
    </w:p>
    <w:p w14:paraId="7B62D418">
      <w:pPr>
        <w:numPr>
          <w:ilvl w:val="1"/>
          <w:numId w:val="4"/>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在采购活动中应当回避而未回避的；</w:t>
      </w:r>
    </w:p>
    <w:p w14:paraId="207494B6">
      <w:pPr>
        <w:numPr>
          <w:ilvl w:val="1"/>
          <w:numId w:val="4"/>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恶意投诉的；</w:t>
      </w:r>
    </w:p>
    <w:p w14:paraId="1608A5EF">
      <w:pPr>
        <w:numPr>
          <w:ilvl w:val="1"/>
          <w:numId w:val="4"/>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向采购项目相关人行贿或者提供其他不当利益的；</w:t>
      </w:r>
    </w:p>
    <w:p w14:paraId="50F78293">
      <w:pPr>
        <w:numPr>
          <w:ilvl w:val="1"/>
          <w:numId w:val="4"/>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阻碍、抗拒主管部门监督检查的；</w:t>
      </w:r>
    </w:p>
    <w:p w14:paraId="1999F5FD">
      <w:pPr>
        <w:numPr>
          <w:ilvl w:val="1"/>
          <w:numId w:val="4"/>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在政府采购主管部门履约检查中不及格或评价为差的；</w:t>
      </w:r>
    </w:p>
    <w:p w14:paraId="7DA53874">
      <w:pPr>
        <w:spacing w:line="360" w:lineRule="auto"/>
        <w:ind w:left="420"/>
        <w:rPr>
          <w:rFonts w:asciiTheme="minorEastAsia" w:hAnsiTheme="minorEastAsia" w:eastAsiaTheme="minorEastAsia"/>
          <w:sz w:val="24"/>
          <w:szCs w:val="24"/>
        </w:rPr>
      </w:pPr>
      <w:r>
        <w:rPr>
          <w:rFonts w:hint="eastAsia" w:asciiTheme="minorEastAsia" w:hAnsiTheme="minorEastAsia" w:eastAsiaTheme="minorEastAsia"/>
          <w:sz w:val="24"/>
          <w:szCs w:val="24"/>
        </w:rPr>
        <w:t>（十一）主管部门认定的其他情形。</w:t>
      </w:r>
    </w:p>
    <w:p w14:paraId="2DC93285">
      <w:pPr>
        <w:spacing w:line="360" w:lineRule="auto"/>
        <w:ind w:firstLine="540"/>
        <w:rPr>
          <w:rFonts w:asciiTheme="minorEastAsia" w:hAnsiTheme="minorEastAsia" w:eastAsiaTheme="minorEastAsia"/>
          <w:sz w:val="24"/>
          <w:szCs w:val="24"/>
        </w:rPr>
      </w:pPr>
      <w:r>
        <w:rPr>
          <w:rFonts w:hint="eastAsia" w:asciiTheme="minorEastAsia" w:hAnsiTheme="minorEastAsia" w:eastAsiaTheme="minorEastAsia"/>
          <w:sz w:val="24"/>
          <w:szCs w:val="24"/>
        </w:rPr>
        <w:t>2、我司已清楚不得作虚假承诺。如违反上述要求作出虚假承诺，其投标将作废，被列入不良记录名单并在网上曝光，一年内不得参加我院投标。</w:t>
      </w:r>
    </w:p>
    <w:p w14:paraId="7583C032">
      <w:pPr>
        <w:spacing w:line="312" w:lineRule="auto"/>
        <w:ind w:firstLine="525"/>
        <w:rPr>
          <w:rFonts w:asciiTheme="minorEastAsia" w:hAnsiTheme="minorEastAsia" w:eastAsiaTheme="minorEastAsia"/>
          <w:sz w:val="24"/>
          <w:szCs w:val="24"/>
        </w:rPr>
      </w:pPr>
    </w:p>
    <w:p w14:paraId="6CEDACB4">
      <w:pPr>
        <w:spacing w:line="312" w:lineRule="auto"/>
        <w:ind w:firstLine="525"/>
        <w:rPr>
          <w:rFonts w:asciiTheme="minorEastAsia" w:hAnsiTheme="minorEastAsia" w:eastAsiaTheme="minorEastAsia"/>
          <w:sz w:val="24"/>
          <w:szCs w:val="24"/>
        </w:rPr>
      </w:pPr>
    </w:p>
    <w:p w14:paraId="09DC4F7C">
      <w:pPr>
        <w:spacing w:line="312" w:lineRule="auto"/>
        <w:ind w:firstLine="525"/>
        <w:rPr>
          <w:rFonts w:asciiTheme="minorEastAsia" w:hAnsiTheme="minorEastAsia" w:eastAsiaTheme="minorEastAsia"/>
          <w:sz w:val="24"/>
          <w:szCs w:val="24"/>
        </w:rPr>
      </w:pPr>
    </w:p>
    <w:p w14:paraId="16F67963">
      <w:pPr>
        <w:spacing w:line="312" w:lineRule="auto"/>
        <w:ind w:firstLine="525"/>
        <w:rPr>
          <w:rFonts w:asciiTheme="minorEastAsia" w:hAnsiTheme="minorEastAsia" w:eastAsiaTheme="minorEastAsia"/>
          <w:sz w:val="24"/>
          <w:szCs w:val="24"/>
        </w:rPr>
      </w:pPr>
    </w:p>
    <w:p w14:paraId="60694877">
      <w:pPr>
        <w:spacing w:line="312" w:lineRule="auto"/>
        <w:ind w:firstLine="525"/>
        <w:rPr>
          <w:rFonts w:asciiTheme="minorEastAsia" w:hAnsiTheme="minorEastAsia" w:eastAsiaTheme="minorEastAsia"/>
          <w:sz w:val="24"/>
          <w:szCs w:val="24"/>
        </w:rPr>
      </w:pPr>
    </w:p>
    <w:p w14:paraId="7A26F0A8">
      <w:pPr>
        <w:spacing w:line="480" w:lineRule="auto"/>
        <w:ind w:firstLine="360" w:firstLineChars="150"/>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投标人名称（公章）：</w:t>
      </w:r>
      <w:r>
        <w:rPr>
          <w:rFonts w:hint="eastAsia" w:cs="宋体" w:asciiTheme="minorEastAsia" w:hAnsiTheme="minorEastAsia" w:eastAsiaTheme="minorEastAsia"/>
          <w:sz w:val="24"/>
          <w:szCs w:val="24"/>
          <w:u w:val="single"/>
        </w:rPr>
        <w:t xml:space="preserve">                            </w:t>
      </w:r>
      <w:r>
        <w:rPr>
          <w:rFonts w:hint="eastAsia" w:cs="宋体" w:asciiTheme="minorEastAsia" w:hAnsiTheme="minorEastAsia" w:eastAsiaTheme="minorEastAsia"/>
          <w:sz w:val="24"/>
          <w:szCs w:val="24"/>
        </w:rPr>
        <w:t xml:space="preserve">  </w:t>
      </w:r>
    </w:p>
    <w:p w14:paraId="2EC3E4E2">
      <w:pPr>
        <w:pStyle w:val="27"/>
        <w:spacing w:line="480" w:lineRule="auto"/>
        <w:ind w:firstLine="360" w:firstLineChars="150"/>
        <w:jc w:val="left"/>
        <w:rPr>
          <w:rFonts w:asciiTheme="minorEastAsia" w:hAnsiTheme="minorEastAsia" w:eastAsiaTheme="minorEastAsia"/>
          <w:sz w:val="24"/>
          <w:szCs w:val="24"/>
        </w:rPr>
      </w:pPr>
      <w:r>
        <w:rPr>
          <w:rFonts w:hint="eastAsia" w:asciiTheme="minorEastAsia" w:hAnsiTheme="minorEastAsia" w:eastAsiaTheme="minorEastAsia"/>
          <w:sz w:val="24"/>
          <w:szCs w:val="24"/>
        </w:rPr>
        <w:t>投标人代表（签字）：</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 xml:space="preserve">  </w:t>
      </w:r>
    </w:p>
    <w:p w14:paraId="6EF93FC2">
      <w:pPr>
        <w:spacing w:line="360" w:lineRule="auto"/>
        <w:ind w:firstLine="360" w:firstLineChars="150"/>
        <w:rPr>
          <w:rFonts w:hint="eastAsia" w:asciiTheme="minorEastAsia" w:hAnsiTheme="minorEastAsia" w:eastAsiaTheme="minorEastAsia"/>
          <w:b/>
          <w:bCs/>
          <w:snapToGrid w:val="0"/>
          <w:kern w:val="0"/>
          <w:sz w:val="24"/>
          <w:szCs w:val="24"/>
        </w:rPr>
      </w:pPr>
      <w:r>
        <w:rPr>
          <w:rFonts w:hint="eastAsia" w:cs="宋体" w:asciiTheme="minorEastAsia" w:hAnsiTheme="minorEastAsia" w:eastAsiaTheme="minorEastAsia"/>
          <w:sz w:val="24"/>
          <w:szCs w:val="24"/>
        </w:rPr>
        <w:t>日        期：</w:t>
      </w:r>
      <w:r>
        <w:rPr>
          <w:rFonts w:hint="eastAsia" w:cs="宋体" w:asciiTheme="minorEastAsia" w:hAnsiTheme="minorEastAsia" w:eastAsiaTheme="minorEastAsia"/>
          <w:kern w:val="0"/>
          <w:sz w:val="24"/>
          <w:szCs w:val="24"/>
          <w:u w:val="single"/>
        </w:rPr>
        <w:t xml:space="preserve">                                 </w:t>
      </w:r>
      <w:bookmarkStart w:id="27" w:name="_Toc313109535"/>
      <w:r>
        <w:rPr>
          <w:rFonts w:hint="eastAsia" w:asciiTheme="minorEastAsia" w:hAnsiTheme="minorEastAsia" w:eastAsiaTheme="minorEastAsia"/>
          <w:b/>
          <w:bCs/>
          <w:snapToGrid w:val="0"/>
          <w:kern w:val="0"/>
          <w:sz w:val="24"/>
          <w:szCs w:val="24"/>
        </w:rPr>
        <w:br w:type="page"/>
      </w:r>
    </w:p>
    <w:p w14:paraId="66038954">
      <w:pPr>
        <w:ind w:firstLine="2891" w:firstLineChars="1200"/>
        <w:rPr>
          <w:rFonts w:asciiTheme="minorEastAsia" w:hAnsiTheme="minorEastAsia" w:eastAsiaTheme="minorEastAsia"/>
          <w:b/>
          <w:sz w:val="24"/>
          <w:szCs w:val="24"/>
        </w:rPr>
      </w:pPr>
      <w:r>
        <w:rPr>
          <w:rFonts w:hint="eastAsia" w:asciiTheme="minorEastAsia" w:hAnsiTheme="minorEastAsia" w:eastAsiaTheme="minorEastAsia"/>
          <w:b/>
          <w:bCs/>
          <w:snapToGrid w:val="0"/>
          <w:kern w:val="0"/>
          <w:sz w:val="24"/>
          <w:szCs w:val="24"/>
        </w:rPr>
        <w:t>八、</w:t>
      </w:r>
      <w:r>
        <w:rPr>
          <w:rFonts w:hint="eastAsia" w:asciiTheme="minorEastAsia" w:hAnsiTheme="minorEastAsia" w:eastAsiaTheme="minorEastAsia"/>
          <w:b/>
          <w:sz w:val="24"/>
          <w:szCs w:val="24"/>
        </w:rPr>
        <w:t>产品质量保证书</w:t>
      </w:r>
    </w:p>
    <w:p w14:paraId="6BFD6D69">
      <w:pPr>
        <w:rPr>
          <w:rFonts w:asciiTheme="minorEastAsia" w:hAnsiTheme="minorEastAsia" w:eastAsiaTheme="minorEastAsia"/>
          <w:sz w:val="24"/>
          <w:szCs w:val="24"/>
        </w:rPr>
      </w:pPr>
    </w:p>
    <w:p w14:paraId="7A5EC408">
      <w:pPr>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本公司销售的产品是经由国家相关部门严格审核获准进入市场。</w:t>
      </w:r>
    </w:p>
    <w:p w14:paraId="628B0F09">
      <w:pPr>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为保证您安全、放心地使用本产品，我公司对产品的质量和服务郑重承诺：</w:t>
      </w:r>
    </w:p>
    <w:p w14:paraId="4FF041FB">
      <w:pPr>
        <w:numPr>
          <w:ilvl w:val="0"/>
          <w:numId w:val="5"/>
        </w:numPr>
        <w:rPr>
          <w:rFonts w:asciiTheme="minorEastAsia" w:hAnsiTheme="minorEastAsia" w:eastAsiaTheme="minorEastAsia"/>
          <w:sz w:val="24"/>
          <w:szCs w:val="24"/>
        </w:rPr>
      </w:pPr>
      <w:r>
        <w:rPr>
          <w:rFonts w:hint="eastAsia" w:asciiTheme="minorEastAsia" w:hAnsiTheme="minorEastAsia" w:eastAsiaTheme="minorEastAsia"/>
          <w:sz w:val="24"/>
          <w:szCs w:val="24"/>
        </w:rPr>
        <w:t>使用本产品的患者均能得到公司高质量的售前、售中、售后服务。</w:t>
      </w:r>
    </w:p>
    <w:p w14:paraId="47C073C6">
      <w:pPr>
        <w:numPr>
          <w:ilvl w:val="0"/>
          <w:numId w:val="5"/>
        </w:numPr>
        <w:rPr>
          <w:rFonts w:asciiTheme="minorEastAsia" w:hAnsiTheme="minorEastAsia" w:eastAsiaTheme="minorEastAsia"/>
          <w:sz w:val="24"/>
          <w:szCs w:val="24"/>
        </w:rPr>
      </w:pPr>
      <w:r>
        <w:rPr>
          <w:rFonts w:hint="eastAsia" w:asciiTheme="minorEastAsia" w:hAnsiTheme="minorEastAsia" w:eastAsiaTheme="minorEastAsia"/>
          <w:sz w:val="24"/>
          <w:szCs w:val="24"/>
        </w:rPr>
        <w:t>因产品质量缺陷造成的伤害和损失（经国家法定权威部门鉴定，情况属实），则与医院无关，由本公司与产品生产厂家负责赔偿责任。</w:t>
      </w:r>
    </w:p>
    <w:p w14:paraId="3BB2C716">
      <w:pPr>
        <w:numPr>
          <w:ilvl w:val="0"/>
          <w:numId w:val="5"/>
        </w:numPr>
        <w:rPr>
          <w:rFonts w:asciiTheme="minorEastAsia" w:hAnsiTheme="minorEastAsia" w:eastAsiaTheme="minorEastAsia"/>
          <w:sz w:val="24"/>
          <w:szCs w:val="24"/>
        </w:rPr>
      </w:pPr>
      <w:r>
        <w:rPr>
          <w:rFonts w:hint="eastAsia" w:asciiTheme="minorEastAsia" w:hAnsiTheme="minorEastAsia" w:eastAsiaTheme="minorEastAsia"/>
          <w:sz w:val="24"/>
          <w:szCs w:val="24"/>
        </w:rPr>
        <w:t>因使用本产品而导致的医患纠纷，在未明确责任前，本公司愿意协助医院积极处理。</w:t>
      </w:r>
    </w:p>
    <w:p w14:paraId="2B44831E">
      <w:pPr>
        <w:rPr>
          <w:rFonts w:asciiTheme="minorEastAsia" w:hAnsiTheme="minorEastAsia" w:eastAsiaTheme="minorEastAsia"/>
          <w:sz w:val="24"/>
          <w:szCs w:val="24"/>
        </w:rPr>
      </w:pPr>
    </w:p>
    <w:p w14:paraId="623440E3">
      <w:pPr>
        <w:rPr>
          <w:rFonts w:asciiTheme="minorEastAsia" w:hAnsiTheme="minorEastAsia" w:eastAsiaTheme="minorEastAsia"/>
          <w:sz w:val="24"/>
          <w:szCs w:val="24"/>
        </w:rPr>
      </w:pPr>
    </w:p>
    <w:p w14:paraId="115B4066">
      <w:pPr>
        <w:spacing w:line="480" w:lineRule="auto"/>
        <w:rPr>
          <w:rFonts w:asciiTheme="minorEastAsia" w:hAnsiTheme="minorEastAsia" w:eastAsiaTheme="minorEastAsia"/>
          <w:sz w:val="24"/>
          <w:szCs w:val="24"/>
        </w:rPr>
      </w:pPr>
    </w:p>
    <w:p w14:paraId="75EBBD71">
      <w:pPr>
        <w:spacing w:line="480" w:lineRule="auto"/>
        <w:rPr>
          <w:rFonts w:asciiTheme="minorEastAsia" w:hAnsiTheme="minorEastAsia" w:eastAsiaTheme="minorEastAsia"/>
          <w:sz w:val="24"/>
          <w:szCs w:val="24"/>
        </w:rPr>
      </w:pPr>
    </w:p>
    <w:p w14:paraId="2D56C3F4">
      <w:pPr>
        <w:spacing w:line="480" w:lineRule="auto"/>
        <w:ind w:firstLine="3840" w:firstLineChars="1600"/>
        <w:rPr>
          <w:rFonts w:asciiTheme="minorEastAsia" w:hAnsiTheme="minorEastAsia" w:eastAsiaTheme="minorEastAsia"/>
          <w:sz w:val="24"/>
          <w:szCs w:val="24"/>
        </w:rPr>
      </w:pPr>
      <w:r>
        <w:rPr>
          <w:rFonts w:hint="eastAsia" w:asciiTheme="minorEastAsia" w:hAnsiTheme="minorEastAsia" w:eastAsiaTheme="minorEastAsia"/>
          <w:sz w:val="24"/>
          <w:szCs w:val="24"/>
        </w:rPr>
        <w:t>销售公司（盖章）：</w:t>
      </w:r>
    </w:p>
    <w:p w14:paraId="4B347C53">
      <w:pPr>
        <w:spacing w:line="480" w:lineRule="auto"/>
        <w:ind w:firstLine="3840" w:firstLineChars="1600"/>
        <w:rPr>
          <w:rFonts w:asciiTheme="minorEastAsia" w:hAnsiTheme="minorEastAsia" w:eastAsiaTheme="minorEastAsia"/>
          <w:sz w:val="24"/>
          <w:szCs w:val="24"/>
        </w:rPr>
      </w:pPr>
      <w:r>
        <w:rPr>
          <w:rFonts w:hint="eastAsia" w:asciiTheme="minorEastAsia" w:hAnsiTheme="minorEastAsia" w:eastAsiaTheme="minorEastAsia"/>
          <w:sz w:val="24"/>
          <w:szCs w:val="24"/>
        </w:rPr>
        <w:t>代表签名：</w:t>
      </w:r>
    </w:p>
    <w:p w14:paraId="46F1034C">
      <w:pPr>
        <w:spacing w:line="480" w:lineRule="auto"/>
        <w:ind w:firstLine="3840" w:firstLineChars="1600"/>
        <w:rPr>
          <w:rFonts w:asciiTheme="minorEastAsia" w:hAnsiTheme="minorEastAsia" w:eastAsiaTheme="minorEastAsia"/>
          <w:sz w:val="24"/>
          <w:szCs w:val="24"/>
        </w:rPr>
      </w:pPr>
      <w:r>
        <w:rPr>
          <w:rFonts w:hint="eastAsia" w:asciiTheme="minorEastAsia" w:hAnsiTheme="minorEastAsia" w:eastAsiaTheme="minorEastAsia"/>
          <w:sz w:val="24"/>
          <w:szCs w:val="24"/>
        </w:rPr>
        <w:t>身份证号：</w:t>
      </w:r>
    </w:p>
    <w:p w14:paraId="166B99F3">
      <w:pPr>
        <w:spacing w:line="480" w:lineRule="auto"/>
        <w:ind w:firstLine="3840" w:firstLineChars="16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日    期：</w:t>
      </w:r>
    </w:p>
    <w:p w14:paraId="051A62B2">
      <w:pPr>
        <w:rPr>
          <w:rFonts w:asciiTheme="minorEastAsia" w:hAnsiTheme="minorEastAsia" w:eastAsiaTheme="minorEastAsia"/>
          <w:b/>
          <w:bCs/>
          <w:sz w:val="24"/>
          <w:szCs w:val="24"/>
        </w:rPr>
      </w:pPr>
      <w:r>
        <w:rPr>
          <w:rFonts w:hint="eastAsia" w:asciiTheme="minorEastAsia" w:hAnsiTheme="minorEastAsia" w:eastAsiaTheme="minorEastAsia"/>
          <w:sz w:val="24"/>
          <w:szCs w:val="24"/>
        </w:rPr>
        <w:br w:type="page"/>
      </w:r>
    </w:p>
    <w:p w14:paraId="6018A090">
      <w:pPr>
        <w:numPr>
          <w:ilvl w:val="0"/>
          <w:numId w:val="0"/>
        </w:numPr>
        <w:jc w:val="center"/>
        <w:rPr>
          <w:rFonts w:hint="eastAsia" w:asciiTheme="minorEastAsia" w:hAnsiTheme="minorEastAsia" w:eastAsiaTheme="minorEastAsia"/>
          <w:b/>
          <w:bCs/>
          <w:sz w:val="24"/>
          <w:szCs w:val="24"/>
          <w:lang w:val="en-US" w:eastAsia="zh-CN"/>
        </w:rPr>
      </w:pPr>
      <w:r>
        <w:rPr>
          <w:rFonts w:hint="eastAsia" w:cs="Times New Roman" w:asciiTheme="minorEastAsia" w:hAnsiTheme="minorEastAsia" w:eastAsiaTheme="minorEastAsia"/>
          <w:b/>
          <w:bCs/>
          <w:kern w:val="2"/>
          <w:sz w:val="24"/>
          <w:szCs w:val="24"/>
          <w:lang w:val="en-US" w:eastAsia="zh-CN" w:bidi="ar-SA"/>
        </w:rPr>
        <w:t>九、</w:t>
      </w:r>
      <w:r>
        <w:rPr>
          <w:rFonts w:hint="eastAsia" w:asciiTheme="minorEastAsia" w:hAnsiTheme="minorEastAsia" w:eastAsiaTheme="minorEastAsia"/>
          <w:b/>
          <w:bCs/>
          <w:sz w:val="24"/>
          <w:szCs w:val="24"/>
          <w:lang w:val="en-US" w:eastAsia="zh-CN"/>
        </w:rPr>
        <w:t>诚信信用信息</w:t>
      </w:r>
    </w:p>
    <w:p w14:paraId="1BD585CC">
      <w:pPr>
        <w:spacing w:line="360" w:lineRule="auto"/>
        <w:jc w:val="left"/>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通过“信用中国”（www.creditchina.gov.cn，下载信用信息报告）、“中国政府采购网”（www.ccgp.gov.cn）以及“深圳市政府采购监管网”（http://zfcg.sz.gov.cn）查询的信用信息。</w:t>
      </w:r>
    </w:p>
    <w:p w14:paraId="29A39051">
      <w:pPr>
        <w:numPr>
          <w:ilvl w:val="0"/>
          <w:numId w:val="0"/>
        </w:numPr>
        <w:rPr>
          <w:rFonts w:hint="eastAsia" w:cs="Times New Roman" w:asciiTheme="minorEastAsia" w:hAnsiTheme="minorEastAsia" w:eastAsiaTheme="minorEastAsia"/>
          <w:b/>
          <w:bCs/>
          <w:kern w:val="2"/>
          <w:sz w:val="24"/>
          <w:szCs w:val="24"/>
          <w:lang w:val="en-US" w:eastAsia="zh-CN" w:bidi="ar-SA"/>
        </w:rPr>
      </w:pPr>
    </w:p>
    <w:p w14:paraId="74E0DB2F">
      <w:pPr>
        <w:numPr>
          <w:ilvl w:val="0"/>
          <w:numId w:val="0"/>
        </w:numPr>
        <w:rPr>
          <w:rFonts w:hint="eastAsia" w:cs="Times New Roman" w:asciiTheme="minorEastAsia" w:hAnsiTheme="minorEastAsia" w:eastAsiaTheme="minorEastAsia"/>
          <w:b/>
          <w:bCs/>
          <w:kern w:val="2"/>
          <w:sz w:val="24"/>
          <w:szCs w:val="24"/>
          <w:lang w:val="en-US" w:eastAsia="zh-CN" w:bidi="ar-SA"/>
        </w:rPr>
      </w:pPr>
    </w:p>
    <w:p w14:paraId="2790ED0E">
      <w:pPr>
        <w:numPr>
          <w:ilvl w:val="0"/>
          <w:numId w:val="0"/>
        </w:numPr>
        <w:rPr>
          <w:rFonts w:hint="eastAsia" w:cs="Times New Roman" w:asciiTheme="minorEastAsia" w:hAnsiTheme="minorEastAsia" w:eastAsiaTheme="minorEastAsia"/>
          <w:b/>
          <w:bCs/>
          <w:kern w:val="2"/>
          <w:sz w:val="24"/>
          <w:szCs w:val="24"/>
          <w:lang w:val="en-US" w:eastAsia="zh-CN" w:bidi="ar-SA"/>
        </w:rPr>
      </w:pPr>
    </w:p>
    <w:p w14:paraId="7BABECE5">
      <w:pPr>
        <w:numPr>
          <w:ilvl w:val="0"/>
          <w:numId w:val="0"/>
        </w:numPr>
        <w:rPr>
          <w:rFonts w:hint="eastAsia" w:cs="Times New Roman" w:asciiTheme="minorEastAsia" w:hAnsiTheme="minorEastAsia" w:eastAsiaTheme="minorEastAsia"/>
          <w:b/>
          <w:bCs/>
          <w:kern w:val="2"/>
          <w:sz w:val="24"/>
          <w:szCs w:val="24"/>
          <w:lang w:val="en-US" w:eastAsia="zh-CN" w:bidi="ar-SA"/>
        </w:rPr>
      </w:pPr>
    </w:p>
    <w:p w14:paraId="4F7A9165">
      <w:pPr>
        <w:numPr>
          <w:ilvl w:val="0"/>
          <w:numId w:val="0"/>
        </w:numPr>
        <w:rPr>
          <w:rFonts w:hint="eastAsia" w:asciiTheme="minorEastAsia" w:hAnsiTheme="minorEastAsia" w:eastAsiaTheme="minorEastAsia"/>
          <w:b/>
          <w:bCs/>
          <w:sz w:val="24"/>
          <w:szCs w:val="24"/>
        </w:rPr>
      </w:pPr>
      <w:r>
        <w:rPr>
          <w:rFonts w:hint="eastAsia" w:asciiTheme="minorEastAsia" w:hAnsiTheme="minorEastAsia" w:eastAsiaTheme="minorEastAsia"/>
          <w:b/>
          <w:bCs/>
          <w:sz w:val="24"/>
          <w:szCs w:val="24"/>
        </w:rPr>
        <w:br w:type="page"/>
      </w:r>
    </w:p>
    <w:p w14:paraId="67597F2D">
      <w:pPr>
        <w:spacing w:line="300" w:lineRule="auto"/>
        <w:ind w:firstLine="1446" w:firstLineChars="600"/>
        <w:rPr>
          <w:rFonts w:asciiTheme="minorEastAsia" w:hAnsiTheme="minorEastAsia" w:eastAsiaTheme="minorEastAsia"/>
          <w:sz w:val="24"/>
          <w:szCs w:val="24"/>
        </w:rPr>
      </w:pPr>
      <w:r>
        <w:rPr>
          <w:rFonts w:hint="eastAsia" w:asciiTheme="minorEastAsia" w:hAnsiTheme="minorEastAsia" w:eastAsiaTheme="minorEastAsia"/>
          <w:b/>
          <w:bCs/>
          <w:sz w:val="24"/>
          <w:szCs w:val="24"/>
          <w:lang w:val="en-US" w:eastAsia="zh-CN"/>
        </w:rPr>
        <w:t>十</w:t>
      </w:r>
      <w:r>
        <w:rPr>
          <w:rFonts w:hint="eastAsia" w:asciiTheme="minorEastAsia" w:hAnsiTheme="minorEastAsia" w:eastAsiaTheme="minorEastAsia"/>
          <w:b/>
          <w:bCs/>
          <w:sz w:val="24"/>
          <w:szCs w:val="24"/>
        </w:rPr>
        <w:t>、投标人认为需要补充的其他资料（如有）</w:t>
      </w:r>
      <w:bookmarkEnd w:id="27"/>
    </w:p>
    <w:p w14:paraId="72D589D5">
      <w:pPr>
        <w:spacing w:line="360" w:lineRule="auto"/>
        <w:jc w:val="left"/>
        <w:rPr>
          <w:rFonts w:asciiTheme="minorEastAsia" w:hAnsiTheme="minorEastAsia" w:eastAsiaTheme="minorEastAsia"/>
          <w:sz w:val="24"/>
          <w:szCs w:val="24"/>
        </w:rPr>
      </w:pPr>
    </w:p>
    <w:p w14:paraId="538B34FB">
      <w:pPr>
        <w:spacing w:line="360" w:lineRule="auto"/>
        <w:jc w:val="left"/>
        <w:rPr>
          <w:rFonts w:asciiTheme="minorEastAsia" w:hAnsiTheme="minorEastAsia" w:eastAsiaTheme="minorEastAsia"/>
          <w:sz w:val="24"/>
          <w:szCs w:val="24"/>
        </w:rPr>
      </w:pPr>
    </w:p>
    <w:p w14:paraId="56663481">
      <w:pPr>
        <w:rPr>
          <w:rFonts w:hint="eastAsia" w:asciiTheme="minorEastAsia" w:hAnsiTheme="minorEastAsia" w:eastAsiaTheme="minorEastAsia"/>
          <w:sz w:val="24"/>
          <w:szCs w:val="24"/>
          <w:lang w:eastAsia="zh-CN"/>
        </w:rPr>
      </w:pPr>
    </w:p>
    <w:sectPr>
      <w:pgSz w:w="11906" w:h="16838"/>
      <w:pgMar w:top="1701" w:right="1588" w:bottom="1304" w:left="1588" w:header="1247" w:footer="737" w:gutter="0"/>
      <w:cols w:space="425" w:num="1"/>
      <w:docGrid w:linePitch="380" w:charSpace="-43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方正仿宋_GB2312">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w:hAnsi="Times New Roman" w:eastAsia="宋体" w:cs="Times New Roman"/>
        <w:kern w:val="2"/>
        <w:sz w:val="21"/>
        <w:lang w:val="en-US" w:eastAsia="zh-CN" w:bidi="ar-SA"/>
      </w:rPr>
      <w:id w:val="147482170"/>
    </w:sdtPr>
    <w:sdtEndPr>
      <w:rPr>
        <w:rFonts w:ascii="Times New Roman" w:hAnsi="Times New Roman" w:eastAsia="宋体" w:cs="Times New Roman"/>
        <w:kern w:val="2"/>
        <w:sz w:val="18"/>
        <w:szCs w:val="18"/>
        <w:lang w:val="en-US" w:eastAsia="zh-CN" w:bidi="ar-SA"/>
      </w:rPr>
    </w:sdtEndPr>
    <w:sdtContent>
      <w:p w14:paraId="6E059D63">
        <w:pPr>
          <w:widowControl w:val="0"/>
          <w:snapToGrid w:val="0"/>
          <w:jc w:val="center"/>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18"/>
            <w:szCs w:val="18"/>
            <w:lang w:val="en-US" w:eastAsia="zh-CN" w:bidi="ar-SA"/>
          </w:rPr>
          <w:instrText xml:space="preserve"> PAGE   \* MERGEFORMAT </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zh-CN" w:eastAsia="zh-CN" w:bidi="ar-SA"/>
          </w:rPr>
          <w:t>1</w:t>
        </w:r>
        <w:r>
          <w:rPr>
            <w:rFonts w:ascii="Times New Roman" w:hAnsi="Times New Roman" w:eastAsia="宋体" w:cs="Times New Roman"/>
            <w:kern w:val="2"/>
            <w:sz w:val="18"/>
            <w:szCs w:val="18"/>
            <w:lang w:val="zh-CN" w:eastAsia="zh-CN" w:bidi="ar-SA"/>
          </w:rPr>
          <w:fldChar w:fldCharType="end"/>
        </w:r>
      </w:p>
    </w:sdtContent>
  </w:sdt>
  <w:p w14:paraId="2ACB3B48">
    <w:pPr>
      <w:widowControl w:val="0"/>
      <w:snapToGrid w:val="0"/>
      <w:jc w:val="left"/>
      <w:rPr>
        <w:rFonts w:ascii="Times New Roman" w:hAnsi="Times New Roman" w:eastAsia="宋体" w:cs="Times New Roman"/>
        <w:kern w:val="2"/>
        <w:sz w:val="1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103315"/>
    </w:sdtPr>
    <w:sdtContent>
      <w:p w14:paraId="517C82D8">
        <w:pPr>
          <w:pStyle w:val="11"/>
          <w:jc w:val="center"/>
        </w:pPr>
        <w:r>
          <w:fldChar w:fldCharType="begin"/>
        </w:r>
        <w:r>
          <w:instrText xml:space="preserve"> PAGE   \* MERGEFORMAT </w:instrText>
        </w:r>
        <w:r>
          <w:fldChar w:fldCharType="separate"/>
        </w:r>
        <w:r>
          <w:rPr>
            <w:lang w:val="zh-CN"/>
          </w:rPr>
          <w:t>1</w:t>
        </w:r>
        <w:r>
          <w:rPr>
            <w:lang w:val="zh-CN"/>
          </w:rPr>
          <w:fldChar w:fldCharType="end"/>
        </w:r>
      </w:p>
    </w:sdtContent>
  </w:sdt>
  <w:p w14:paraId="379C2060">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479299">
    <w:pPr>
      <w:rPr>
        <w:rFonts w:ascii="Times New Roman" w:hAnsi="Times New Roman" w:eastAsia="宋体" w:cs="Times New Roman"/>
      </w:rPr>
    </w:pPr>
    <w:r>
      <w:rPr>
        <w:rFonts w:hint="eastAsia" w:ascii="Times New Roman" w:hAnsi="Times New Roman" w:eastAsia="宋体" w:cs="Times New Roman"/>
      </w:rPr>
      <w:t>圳</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0F4625">
    <w:r>
      <w:rPr>
        <w:rFonts w:hint="eastAsia"/>
      </w:rPr>
      <w:t>圳</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decimal"/>
      <w:lvlText w:val="%1."/>
      <w:lvlJc w:val="left"/>
      <w:pPr>
        <w:tabs>
          <w:tab w:val="left" w:pos="0"/>
        </w:tabs>
        <w:ind w:left="420" w:hanging="420"/>
      </w:pPr>
      <w:rPr>
        <w:rFonts w:hint="eastAsia"/>
      </w:rPr>
    </w:lvl>
    <w:lvl w:ilvl="1" w:tentative="0">
      <w:start w:val="1"/>
      <w:numFmt w:val="decimal"/>
      <w:pStyle w:val="46"/>
      <w:lvlText w:val="%1.%2"/>
      <w:lvlJc w:val="left"/>
      <w:pPr>
        <w:tabs>
          <w:tab w:val="left" w:pos="700"/>
        </w:tabs>
        <w:ind w:left="700" w:hanging="700"/>
      </w:pPr>
      <w:rPr>
        <w:rFonts w:hint="eastAsia"/>
      </w:rPr>
    </w:lvl>
    <w:lvl w:ilvl="2" w:tentative="0">
      <w:start w:val="1"/>
      <w:numFmt w:val="decimal"/>
      <w:lvlText w:val="%1.%2.%3"/>
      <w:lvlJc w:val="left"/>
      <w:pPr>
        <w:tabs>
          <w:tab w:val="left" w:pos="0"/>
        </w:tabs>
        <w:ind w:left="1418" w:hanging="1418"/>
      </w:pPr>
      <w:rPr>
        <w:rFonts w:hint="eastAsia"/>
      </w:rPr>
    </w:lvl>
    <w:lvl w:ilvl="3" w:tentative="0">
      <w:start w:val="1"/>
      <w:numFmt w:val="decimal"/>
      <w:lvlText w:val="%1.%2.%3.%4"/>
      <w:lvlJc w:val="left"/>
      <w:pPr>
        <w:tabs>
          <w:tab w:val="left" w:pos="0"/>
        </w:tabs>
        <w:ind w:left="1984" w:hanging="1984"/>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
    <w:nsid w:val="0E68503C"/>
    <w:multiLevelType w:val="multilevel"/>
    <w:tmpl w:val="0E68503C"/>
    <w:lvl w:ilvl="0" w:tentative="0">
      <w:start w:val="1"/>
      <w:numFmt w:val="decimal"/>
      <w:lvlText w:val="%1、"/>
      <w:lvlJc w:val="left"/>
      <w:pPr>
        <w:ind w:left="360" w:hanging="360"/>
      </w:pPr>
      <w:rPr>
        <w:rFonts w:hint="default" w:ascii="Calibri" w:hAnsi="Calibri" w:eastAsia="宋体" w:cs="Times New Roman"/>
      </w:rPr>
    </w:lvl>
    <w:lvl w:ilvl="1" w:tentative="0">
      <w:start w:val="1"/>
      <w:numFmt w:val="japaneseCounting"/>
      <w:lvlText w:val="（%2）"/>
      <w:lvlJc w:val="left"/>
      <w:pPr>
        <w:tabs>
          <w:tab w:val="left" w:pos="1140"/>
        </w:tabs>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F1E4FC3"/>
    <w:multiLevelType w:val="multilevel"/>
    <w:tmpl w:val="2F1E4FC3"/>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369709A3"/>
    <w:multiLevelType w:val="multilevel"/>
    <w:tmpl w:val="369709A3"/>
    <w:lvl w:ilvl="0" w:tentative="0">
      <w:start w:val="1"/>
      <w:numFmt w:val="decimal"/>
      <w:pStyle w:val="47"/>
      <w:lvlText w:val="%1."/>
      <w:lvlJc w:val="left"/>
      <w:pPr>
        <w:tabs>
          <w:tab w:val="left" w:pos="420"/>
        </w:tabs>
        <w:ind w:left="430" w:hanging="430"/>
      </w:pPr>
      <w:rPr>
        <w:rFonts w:hint="eastAsia"/>
      </w:rPr>
    </w:lvl>
    <w:lvl w:ilvl="1" w:tentative="0">
      <w:start w:val="1"/>
      <w:numFmt w:val="decimal"/>
      <w:lvlText w:val="%1.%2"/>
      <w:lvlJc w:val="left"/>
      <w:pPr>
        <w:tabs>
          <w:tab w:val="left" w:pos="700"/>
        </w:tabs>
        <w:ind w:left="700" w:hanging="700"/>
      </w:pPr>
      <w:rPr>
        <w:rFonts w:hint="eastAsia"/>
        <w:color w:val="auto"/>
        <w:lang w:val="en-GB"/>
      </w:rPr>
    </w:lvl>
    <w:lvl w:ilvl="2" w:tentative="0">
      <w:start w:val="1"/>
      <w:numFmt w:val="decimal"/>
      <w:lvlText w:val="%1.%2.%3"/>
      <w:lvlJc w:val="left"/>
      <w:pPr>
        <w:tabs>
          <w:tab w:val="left" w:pos="1000"/>
        </w:tabs>
        <w:ind w:left="1000" w:hanging="1000"/>
      </w:pPr>
      <w:rPr>
        <w:rFonts w:hint="eastAsia"/>
        <w:b w:val="0"/>
        <w:color w:val="auto"/>
      </w:rPr>
    </w:lvl>
    <w:lvl w:ilvl="3" w:tentative="0">
      <w:start w:val="1"/>
      <w:numFmt w:val="decimal"/>
      <w:lvlText w:val="%1.%2.%3.%4"/>
      <w:lvlJc w:val="left"/>
      <w:pPr>
        <w:tabs>
          <w:tab w:val="left" w:pos="0"/>
        </w:tabs>
        <w:ind w:left="1984" w:hanging="1984"/>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4">
    <w:nsid w:val="7FFE5418"/>
    <w:multiLevelType w:val="singleLevel"/>
    <w:tmpl w:val="7FFE5418"/>
    <w:lvl w:ilvl="0" w:tentative="0">
      <w:start w:val="2"/>
      <w:numFmt w:val="decimal"/>
      <w:suff w:val="nothing"/>
      <w:lvlText w:val="%1、"/>
      <w:lvlJc w:val="left"/>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89"/>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NjYmY0NDQ3OWE4YmY2NzJlYTA4MDM0NjNhNzdkMzYifQ=="/>
  </w:docVars>
  <w:rsids>
    <w:rsidRoot w:val="007A1EF5"/>
    <w:rsid w:val="00005298"/>
    <w:rsid w:val="00005F51"/>
    <w:rsid w:val="00010340"/>
    <w:rsid w:val="00011DA9"/>
    <w:rsid w:val="00013E83"/>
    <w:rsid w:val="0001588F"/>
    <w:rsid w:val="00015B11"/>
    <w:rsid w:val="00017FC0"/>
    <w:rsid w:val="0002167C"/>
    <w:rsid w:val="0002300C"/>
    <w:rsid w:val="00024078"/>
    <w:rsid w:val="000253E1"/>
    <w:rsid w:val="00031872"/>
    <w:rsid w:val="00031CC4"/>
    <w:rsid w:val="00032D39"/>
    <w:rsid w:val="00036247"/>
    <w:rsid w:val="00036673"/>
    <w:rsid w:val="000402A1"/>
    <w:rsid w:val="0004226A"/>
    <w:rsid w:val="0004373B"/>
    <w:rsid w:val="00045BCC"/>
    <w:rsid w:val="00047943"/>
    <w:rsid w:val="000500C0"/>
    <w:rsid w:val="00052AA5"/>
    <w:rsid w:val="00052FE4"/>
    <w:rsid w:val="000601BD"/>
    <w:rsid w:val="00075954"/>
    <w:rsid w:val="00080BD5"/>
    <w:rsid w:val="00083404"/>
    <w:rsid w:val="000836AF"/>
    <w:rsid w:val="00083A47"/>
    <w:rsid w:val="00084721"/>
    <w:rsid w:val="0008570C"/>
    <w:rsid w:val="0008669D"/>
    <w:rsid w:val="00092B42"/>
    <w:rsid w:val="0009552F"/>
    <w:rsid w:val="000A304E"/>
    <w:rsid w:val="000C41E5"/>
    <w:rsid w:val="000C7451"/>
    <w:rsid w:val="000C769E"/>
    <w:rsid w:val="000C78FD"/>
    <w:rsid w:val="000D11AB"/>
    <w:rsid w:val="000D1423"/>
    <w:rsid w:val="000E430F"/>
    <w:rsid w:val="000F32CF"/>
    <w:rsid w:val="000F53CA"/>
    <w:rsid w:val="001005F4"/>
    <w:rsid w:val="00101AE9"/>
    <w:rsid w:val="00102A73"/>
    <w:rsid w:val="00105E39"/>
    <w:rsid w:val="00107EFF"/>
    <w:rsid w:val="001126B0"/>
    <w:rsid w:val="00114BE0"/>
    <w:rsid w:val="00115603"/>
    <w:rsid w:val="00116BF0"/>
    <w:rsid w:val="0011722B"/>
    <w:rsid w:val="00122F80"/>
    <w:rsid w:val="0012533E"/>
    <w:rsid w:val="00133B20"/>
    <w:rsid w:val="00134856"/>
    <w:rsid w:val="00135B1F"/>
    <w:rsid w:val="0013707B"/>
    <w:rsid w:val="001373A7"/>
    <w:rsid w:val="00137EC9"/>
    <w:rsid w:val="001411D4"/>
    <w:rsid w:val="00152900"/>
    <w:rsid w:val="00153DA7"/>
    <w:rsid w:val="0015400F"/>
    <w:rsid w:val="00167261"/>
    <w:rsid w:val="00167A10"/>
    <w:rsid w:val="001725FE"/>
    <w:rsid w:val="00175934"/>
    <w:rsid w:val="00182C85"/>
    <w:rsid w:val="00182CCD"/>
    <w:rsid w:val="001853C9"/>
    <w:rsid w:val="001932B1"/>
    <w:rsid w:val="0019659C"/>
    <w:rsid w:val="001A4B76"/>
    <w:rsid w:val="001A63D1"/>
    <w:rsid w:val="001B25EE"/>
    <w:rsid w:val="001B66EC"/>
    <w:rsid w:val="001B6D87"/>
    <w:rsid w:val="001C1FA2"/>
    <w:rsid w:val="001C3B59"/>
    <w:rsid w:val="001C5215"/>
    <w:rsid w:val="001C566B"/>
    <w:rsid w:val="001C63C2"/>
    <w:rsid w:val="001C658F"/>
    <w:rsid w:val="001C6E95"/>
    <w:rsid w:val="001D0FB9"/>
    <w:rsid w:val="001D1142"/>
    <w:rsid w:val="001D1802"/>
    <w:rsid w:val="001D24D8"/>
    <w:rsid w:val="001D2C08"/>
    <w:rsid w:val="001D3BFB"/>
    <w:rsid w:val="001D5A55"/>
    <w:rsid w:val="001E099D"/>
    <w:rsid w:val="001E2E77"/>
    <w:rsid w:val="001E32B1"/>
    <w:rsid w:val="001E53DD"/>
    <w:rsid w:val="001E6086"/>
    <w:rsid w:val="001E6851"/>
    <w:rsid w:val="001F0AED"/>
    <w:rsid w:val="00200DC9"/>
    <w:rsid w:val="00201659"/>
    <w:rsid w:val="00201883"/>
    <w:rsid w:val="002043CC"/>
    <w:rsid w:val="002045CA"/>
    <w:rsid w:val="002055E3"/>
    <w:rsid w:val="00213361"/>
    <w:rsid w:val="002159F7"/>
    <w:rsid w:val="00216A40"/>
    <w:rsid w:val="00216B98"/>
    <w:rsid w:val="00216BA8"/>
    <w:rsid w:val="00217CEF"/>
    <w:rsid w:val="00222C70"/>
    <w:rsid w:val="00226507"/>
    <w:rsid w:val="00226CC5"/>
    <w:rsid w:val="00227A10"/>
    <w:rsid w:val="002301AD"/>
    <w:rsid w:val="0023314A"/>
    <w:rsid w:val="002405EC"/>
    <w:rsid w:val="00240788"/>
    <w:rsid w:val="00241013"/>
    <w:rsid w:val="00242CF0"/>
    <w:rsid w:val="0024491D"/>
    <w:rsid w:val="00252536"/>
    <w:rsid w:val="002544B2"/>
    <w:rsid w:val="00255F4F"/>
    <w:rsid w:val="00257804"/>
    <w:rsid w:val="00260329"/>
    <w:rsid w:val="0026104C"/>
    <w:rsid w:val="00261750"/>
    <w:rsid w:val="002617F0"/>
    <w:rsid w:val="0026330B"/>
    <w:rsid w:val="00265EEE"/>
    <w:rsid w:val="00270814"/>
    <w:rsid w:val="00271EF6"/>
    <w:rsid w:val="00280A87"/>
    <w:rsid w:val="0028588B"/>
    <w:rsid w:val="00285ED3"/>
    <w:rsid w:val="002864A0"/>
    <w:rsid w:val="0029076B"/>
    <w:rsid w:val="002924B9"/>
    <w:rsid w:val="00293AAF"/>
    <w:rsid w:val="00295412"/>
    <w:rsid w:val="00296639"/>
    <w:rsid w:val="00296D49"/>
    <w:rsid w:val="002A0D0F"/>
    <w:rsid w:val="002A1496"/>
    <w:rsid w:val="002A2286"/>
    <w:rsid w:val="002A26A7"/>
    <w:rsid w:val="002A2AD5"/>
    <w:rsid w:val="002A6065"/>
    <w:rsid w:val="002B31C0"/>
    <w:rsid w:val="002B36C4"/>
    <w:rsid w:val="002B3BBD"/>
    <w:rsid w:val="002B5ED7"/>
    <w:rsid w:val="002C4449"/>
    <w:rsid w:val="002C6A33"/>
    <w:rsid w:val="002C7830"/>
    <w:rsid w:val="002D58FF"/>
    <w:rsid w:val="002D6C96"/>
    <w:rsid w:val="002D6F84"/>
    <w:rsid w:val="002E0A2C"/>
    <w:rsid w:val="002E5B5F"/>
    <w:rsid w:val="002E7E3D"/>
    <w:rsid w:val="002F28FB"/>
    <w:rsid w:val="002F2F53"/>
    <w:rsid w:val="002F38AC"/>
    <w:rsid w:val="002F3B05"/>
    <w:rsid w:val="002F4441"/>
    <w:rsid w:val="002F4E9D"/>
    <w:rsid w:val="00300B22"/>
    <w:rsid w:val="00304B48"/>
    <w:rsid w:val="00305482"/>
    <w:rsid w:val="00307C46"/>
    <w:rsid w:val="0031281C"/>
    <w:rsid w:val="00313F7F"/>
    <w:rsid w:val="00322800"/>
    <w:rsid w:val="00323826"/>
    <w:rsid w:val="003252CC"/>
    <w:rsid w:val="00325A15"/>
    <w:rsid w:val="00325C1B"/>
    <w:rsid w:val="00333D95"/>
    <w:rsid w:val="0033412F"/>
    <w:rsid w:val="00335348"/>
    <w:rsid w:val="00351A41"/>
    <w:rsid w:val="00352C5E"/>
    <w:rsid w:val="00354756"/>
    <w:rsid w:val="00356898"/>
    <w:rsid w:val="00362692"/>
    <w:rsid w:val="00364969"/>
    <w:rsid w:val="00373C64"/>
    <w:rsid w:val="00374B13"/>
    <w:rsid w:val="00381037"/>
    <w:rsid w:val="00385AD8"/>
    <w:rsid w:val="00391820"/>
    <w:rsid w:val="003923C5"/>
    <w:rsid w:val="0039384B"/>
    <w:rsid w:val="0039455D"/>
    <w:rsid w:val="00394A6B"/>
    <w:rsid w:val="003A0643"/>
    <w:rsid w:val="003A0833"/>
    <w:rsid w:val="003A1C95"/>
    <w:rsid w:val="003A3355"/>
    <w:rsid w:val="003A55B2"/>
    <w:rsid w:val="003B26D7"/>
    <w:rsid w:val="003C4CCE"/>
    <w:rsid w:val="003D0315"/>
    <w:rsid w:val="003D11FB"/>
    <w:rsid w:val="003D2A0C"/>
    <w:rsid w:val="003E09DA"/>
    <w:rsid w:val="003E1AC0"/>
    <w:rsid w:val="003E2F87"/>
    <w:rsid w:val="003E4D6D"/>
    <w:rsid w:val="003F01CF"/>
    <w:rsid w:val="003F062F"/>
    <w:rsid w:val="003F2E5D"/>
    <w:rsid w:val="003F3596"/>
    <w:rsid w:val="003F49BC"/>
    <w:rsid w:val="003F7868"/>
    <w:rsid w:val="00402852"/>
    <w:rsid w:val="004073CB"/>
    <w:rsid w:val="00411989"/>
    <w:rsid w:val="004134FE"/>
    <w:rsid w:val="00414004"/>
    <w:rsid w:val="00415DEB"/>
    <w:rsid w:val="00416626"/>
    <w:rsid w:val="0041747A"/>
    <w:rsid w:val="00420502"/>
    <w:rsid w:val="004220F1"/>
    <w:rsid w:val="00423253"/>
    <w:rsid w:val="004242A3"/>
    <w:rsid w:val="00425F74"/>
    <w:rsid w:val="00427478"/>
    <w:rsid w:val="00431EEF"/>
    <w:rsid w:val="00432F4D"/>
    <w:rsid w:val="00435EDC"/>
    <w:rsid w:val="00441CAD"/>
    <w:rsid w:val="0044353F"/>
    <w:rsid w:val="00447C5B"/>
    <w:rsid w:val="004549A4"/>
    <w:rsid w:val="00457FAD"/>
    <w:rsid w:val="00466317"/>
    <w:rsid w:val="00466CFB"/>
    <w:rsid w:val="0048019C"/>
    <w:rsid w:val="00484432"/>
    <w:rsid w:val="00486FAA"/>
    <w:rsid w:val="00493FB0"/>
    <w:rsid w:val="004941A2"/>
    <w:rsid w:val="00495259"/>
    <w:rsid w:val="00495E83"/>
    <w:rsid w:val="004960A4"/>
    <w:rsid w:val="004A3F22"/>
    <w:rsid w:val="004A4253"/>
    <w:rsid w:val="004A5758"/>
    <w:rsid w:val="004A7F52"/>
    <w:rsid w:val="004B65F9"/>
    <w:rsid w:val="004B6BE7"/>
    <w:rsid w:val="004C1422"/>
    <w:rsid w:val="004C1A41"/>
    <w:rsid w:val="004C3079"/>
    <w:rsid w:val="004C4226"/>
    <w:rsid w:val="004C70E5"/>
    <w:rsid w:val="004E107C"/>
    <w:rsid w:val="004E36C4"/>
    <w:rsid w:val="004F0D8F"/>
    <w:rsid w:val="004F22BE"/>
    <w:rsid w:val="004F684D"/>
    <w:rsid w:val="004F6925"/>
    <w:rsid w:val="004F7894"/>
    <w:rsid w:val="004F789E"/>
    <w:rsid w:val="00500C1E"/>
    <w:rsid w:val="00501EE3"/>
    <w:rsid w:val="00503C29"/>
    <w:rsid w:val="0050688E"/>
    <w:rsid w:val="005070D0"/>
    <w:rsid w:val="00507304"/>
    <w:rsid w:val="005118B8"/>
    <w:rsid w:val="005134E4"/>
    <w:rsid w:val="00516561"/>
    <w:rsid w:val="0051787C"/>
    <w:rsid w:val="00524087"/>
    <w:rsid w:val="00524C9C"/>
    <w:rsid w:val="005273B9"/>
    <w:rsid w:val="00530F5C"/>
    <w:rsid w:val="00532D9C"/>
    <w:rsid w:val="0053638E"/>
    <w:rsid w:val="00536B44"/>
    <w:rsid w:val="005428B4"/>
    <w:rsid w:val="005432CD"/>
    <w:rsid w:val="005437E4"/>
    <w:rsid w:val="00544B58"/>
    <w:rsid w:val="005538AF"/>
    <w:rsid w:val="0055409A"/>
    <w:rsid w:val="005540AC"/>
    <w:rsid w:val="00555E1E"/>
    <w:rsid w:val="005560EF"/>
    <w:rsid w:val="00556DE2"/>
    <w:rsid w:val="005616EB"/>
    <w:rsid w:val="005633DC"/>
    <w:rsid w:val="00565214"/>
    <w:rsid w:val="005706EF"/>
    <w:rsid w:val="00571C08"/>
    <w:rsid w:val="00572325"/>
    <w:rsid w:val="00572631"/>
    <w:rsid w:val="0057331F"/>
    <w:rsid w:val="005758C6"/>
    <w:rsid w:val="00580C66"/>
    <w:rsid w:val="0058201D"/>
    <w:rsid w:val="00583BB0"/>
    <w:rsid w:val="00583F43"/>
    <w:rsid w:val="00585155"/>
    <w:rsid w:val="0059022F"/>
    <w:rsid w:val="00590E2B"/>
    <w:rsid w:val="00594540"/>
    <w:rsid w:val="00595A23"/>
    <w:rsid w:val="00596748"/>
    <w:rsid w:val="005977C4"/>
    <w:rsid w:val="0059793B"/>
    <w:rsid w:val="005A27C7"/>
    <w:rsid w:val="005A2CAC"/>
    <w:rsid w:val="005A2CE3"/>
    <w:rsid w:val="005A5D6D"/>
    <w:rsid w:val="005B19E7"/>
    <w:rsid w:val="005B4CC8"/>
    <w:rsid w:val="005B5700"/>
    <w:rsid w:val="005B65C1"/>
    <w:rsid w:val="005B66E3"/>
    <w:rsid w:val="005C214B"/>
    <w:rsid w:val="005C6100"/>
    <w:rsid w:val="005C6E7D"/>
    <w:rsid w:val="005D1E07"/>
    <w:rsid w:val="005E06FB"/>
    <w:rsid w:val="005E728D"/>
    <w:rsid w:val="005F38B8"/>
    <w:rsid w:val="005F395A"/>
    <w:rsid w:val="005F45B2"/>
    <w:rsid w:val="00601565"/>
    <w:rsid w:val="00602FEC"/>
    <w:rsid w:val="00604399"/>
    <w:rsid w:val="00605A62"/>
    <w:rsid w:val="0060617D"/>
    <w:rsid w:val="006064D0"/>
    <w:rsid w:val="00611191"/>
    <w:rsid w:val="00612675"/>
    <w:rsid w:val="00613283"/>
    <w:rsid w:val="0061705E"/>
    <w:rsid w:val="006171A5"/>
    <w:rsid w:val="0062105F"/>
    <w:rsid w:val="00621ED5"/>
    <w:rsid w:val="00625211"/>
    <w:rsid w:val="006318AB"/>
    <w:rsid w:val="00632958"/>
    <w:rsid w:val="006333AD"/>
    <w:rsid w:val="00641AE3"/>
    <w:rsid w:val="006424B5"/>
    <w:rsid w:val="00642EAB"/>
    <w:rsid w:val="006438DB"/>
    <w:rsid w:val="006530A7"/>
    <w:rsid w:val="00653CEF"/>
    <w:rsid w:val="00655B2A"/>
    <w:rsid w:val="00655D1C"/>
    <w:rsid w:val="006562B7"/>
    <w:rsid w:val="00662189"/>
    <w:rsid w:val="00671FBA"/>
    <w:rsid w:val="00672AF2"/>
    <w:rsid w:val="00675F48"/>
    <w:rsid w:val="00677A8B"/>
    <w:rsid w:val="00686086"/>
    <w:rsid w:val="00695DF7"/>
    <w:rsid w:val="006960B9"/>
    <w:rsid w:val="006A1B6C"/>
    <w:rsid w:val="006A3657"/>
    <w:rsid w:val="006A7125"/>
    <w:rsid w:val="006B4543"/>
    <w:rsid w:val="006B6A74"/>
    <w:rsid w:val="006B7B3C"/>
    <w:rsid w:val="006C05B0"/>
    <w:rsid w:val="006C0CA8"/>
    <w:rsid w:val="006C0D92"/>
    <w:rsid w:val="006C2406"/>
    <w:rsid w:val="006C3254"/>
    <w:rsid w:val="006D250B"/>
    <w:rsid w:val="006D29CC"/>
    <w:rsid w:val="006D7EC8"/>
    <w:rsid w:val="006E18C6"/>
    <w:rsid w:val="006E2F82"/>
    <w:rsid w:val="006E387E"/>
    <w:rsid w:val="006E535F"/>
    <w:rsid w:val="006F486D"/>
    <w:rsid w:val="006F5830"/>
    <w:rsid w:val="00700CE0"/>
    <w:rsid w:val="007025D1"/>
    <w:rsid w:val="00705B2E"/>
    <w:rsid w:val="007070E5"/>
    <w:rsid w:val="007103F7"/>
    <w:rsid w:val="0071231F"/>
    <w:rsid w:val="007146BA"/>
    <w:rsid w:val="00717FD9"/>
    <w:rsid w:val="007204F5"/>
    <w:rsid w:val="0072132F"/>
    <w:rsid w:val="0072155B"/>
    <w:rsid w:val="00721D51"/>
    <w:rsid w:val="007246C7"/>
    <w:rsid w:val="007328D0"/>
    <w:rsid w:val="00732F0E"/>
    <w:rsid w:val="007333AB"/>
    <w:rsid w:val="00743E83"/>
    <w:rsid w:val="00745210"/>
    <w:rsid w:val="00745A30"/>
    <w:rsid w:val="00746579"/>
    <w:rsid w:val="0075278C"/>
    <w:rsid w:val="007538A1"/>
    <w:rsid w:val="007541B4"/>
    <w:rsid w:val="00755783"/>
    <w:rsid w:val="0076227D"/>
    <w:rsid w:val="00762CF5"/>
    <w:rsid w:val="007750CA"/>
    <w:rsid w:val="007767C5"/>
    <w:rsid w:val="00776DFE"/>
    <w:rsid w:val="007778C6"/>
    <w:rsid w:val="00782591"/>
    <w:rsid w:val="00785B84"/>
    <w:rsid w:val="007872EC"/>
    <w:rsid w:val="007919DC"/>
    <w:rsid w:val="00791FC5"/>
    <w:rsid w:val="00795E24"/>
    <w:rsid w:val="00796C50"/>
    <w:rsid w:val="007A15F3"/>
    <w:rsid w:val="007A1EF5"/>
    <w:rsid w:val="007A44D1"/>
    <w:rsid w:val="007B6F7D"/>
    <w:rsid w:val="007C174D"/>
    <w:rsid w:val="007C2FF9"/>
    <w:rsid w:val="007D0183"/>
    <w:rsid w:val="007D5754"/>
    <w:rsid w:val="007D5A8F"/>
    <w:rsid w:val="007D5EE3"/>
    <w:rsid w:val="007D7AC9"/>
    <w:rsid w:val="007E06DD"/>
    <w:rsid w:val="007E30EE"/>
    <w:rsid w:val="007E3DF1"/>
    <w:rsid w:val="007E4160"/>
    <w:rsid w:val="007F5015"/>
    <w:rsid w:val="007F5D1E"/>
    <w:rsid w:val="00801A4D"/>
    <w:rsid w:val="0080236A"/>
    <w:rsid w:val="008062D6"/>
    <w:rsid w:val="0080646B"/>
    <w:rsid w:val="00806EFC"/>
    <w:rsid w:val="00813872"/>
    <w:rsid w:val="008172C9"/>
    <w:rsid w:val="008172E0"/>
    <w:rsid w:val="00821490"/>
    <w:rsid w:val="00821650"/>
    <w:rsid w:val="008251A2"/>
    <w:rsid w:val="00826771"/>
    <w:rsid w:val="00834B5F"/>
    <w:rsid w:val="008368B9"/>
    <w:rsid w:val="00843602"/>
    <w:rsid w:val="008447A9"/>
    <w:rsid w:val="00850A4F"/>
    <w:rsid w:val="008510D3"/>
    <w:rsid w:val="008521D7"/>
    <w:rsid w:val="00864F1A"/>
    <w:rsid w:val="00870109"/>
    <w:rsid w:val="008713D8"/>
    <w:rsid w:val="00871657"/>
    <w:rsid w:val="00874B92"/>
    <w:rsid w:val="0088373B"/>
    <w:rsid w:val="008838AE"/>
    <w:rsid w:val="00884C4D"/>
    <w:rsid w:val="00886A26"/>
    <w:rsid w:val="008A064F"/>
    <w:rsid w:val="008A3DF3"/>
    <w:rsid w:val="008B1693"/>
    <w:rsid w:val="008B29CC"/>
    <w:rsid w:val="008B355A"/>
    <w:rsid w:val="008B3904"/>
    <w:rsid w:val="008B6211"/>
    <w:rsid w:val="008B6DE1"/>
    <w:rsid w:val="008C545E"/>
    <w:rsid w:val="008C71C2"/>
    <w:rsid w:val="008C7511"/>
    <w:rsid w:val="008C76B7"/>
    <w:rsid w:val="008D282A"/>
    <w:rsid w:val="008D5095"/>
    <w:rsid w:val="008D6C13"/>
    <w:rsid w:val="008F107D"/>
    <w:rsid w:val="008F2097"/>
    <w:rsid w:val="008F2267"/>
    <w:rsid w:val="008F42FA"/>
    <w:rsid w:val="008F59E2"/>
    <w:rsid w:val="008F78D4"/>
    <w:rsid w:val="00900F05"/>
    <w:rsid w:val="00901C8E"/>
    <w:rsid w:val="00904143"/>
    <w:rsid w:val="0090488F"/>
    <w:rsid w:val="00907638"/>
    <w:rsid w:val="009120A1"/>
    <w:rsid w:val="00913047"/>
    <w:rsid w:val="009138D7"/>
    <w:rsid w:val="00915C0A"/>
    <w:rsid w:val="00917753"/>
    <w:rsid w:val="0092116B"/>
    <w:rsid w:val="009228EF"/>
    <w:rsid w:val="009258D1"/>
    <w:rsid w:val="009302C7"/>
    <w:rsid w:val="00932550"/>
    <w:rsid w:val="00934549"/>
    <w:rsid w:val="00935B2F"/>
    <w:rsid w:val="00935BA7"/>
    <w:rsid w:val="009401C7"/>
    <w:rsid w:val="009412C1"/>
    <w:rsid w:val="00942334"/>
    <w:rsid w:val="0094408C"/>
    <w:rsid w:val="0094692A"/>
    <w:rsid w:val="00947D2D"/>
    <w:rsid w:val="00951F3E"/>
    <w:rsid w:val="00952949"/>
    <w:rsid w:val="009649C7"/>
    <w:rsid w:val="0096594A"/>
    <w:rsid w:val="00970E75"/>
    <w:rsid w:val="009713BB"/>
    <w:rsid w:val="00973E6A"/>
    <w:rsid w:val="009773B9"/>
    <w:rsid w:val="009811C4"/>
    <w:rsid w:val="00985677"/>
    <w:rsid w:val="0098580E"/>
    <w:rsid w:val="00985C87"/>
    <w:rsid w:val="00986BBE"/>
    <w:rsid w:val="0099143A"/>
    <w:rsid w:val="00996324"/>
    <w:rsid w:val="009A08ED"/>
    <w:rsid w:val="009A1551"/>
    <w:rsid w:val="009A5E46"/>
    <w:rsid w:val="009B379D"/>
    <w:rsid w:val="009B5FC5"/>
    <w:rsid w:val="009B783F"/>
    <w:rsid w:val="009C2E28"/>
    <w:rsid w:val="009C6116"/>
    <w:rsid w:val="009E2E81"/>
    <w:rsid w:val="009E3AE1"/>
    <w:rsid w:val="009E6836"/>
    <w:rsid w:val="009F4F10"/>
    <w:rsid w:val="009F6B53"/>
    <w:rsid w:val="00A01394"/>
    <w:rsid w:val="00A04571"/>
    <w:rsid w:val="00A07104"/>
    <w:rsid w:val="00A12108"/>
    <w:rsid w:val="00A16B8B"/>
    <w:rsid w:val="00A204F1"/>
    <w:rsid w:val="00A25181"/>
    <w:rsid w:val="00A31549"/>
    <w:rsid w:val="00A31609"/>
    <w:rsid w:val="00A317B7"/>
    <w:rsid w:val="00A31DB6"/>
    <w:rsid w:val="00A32BA4"/>
    <w:rsid w:val="00A3374C"/>
    <w:rsid w:val="00A33F71"/>
    <w:rsid w:val="00A36B18"/>
    <w:rsid w:val="00A4064D"/>
    <w:rsid w:val="00A42A69"/>
    <w:rsid w:val="00A524D2"/>
    <w:rsid w:val="00A5312E"/>
    <w:rsid w:val="00A55A3D"/>
    <w:rsid w:val="00A56E66"/>
    <w:rsid w:val="00A60B90"/>
    <w:rsid w:val="00A60F0D"/>
    <w:rsid w:val="00A6462B"/>
    <w:rsid w:val="00A6719E"/>
    <w:rsid w:val="00A70087"/>
    <w:rsid w:val="00A72E27"/>
    <w:rsid w:val="00A72ECE"/>
    <w:rsid w:val="00A770F1"/>
    <w:rsid w:val="00A85E21"/>
    <w:rsid w:val="00A85FFF"/>
    <w:rsid w:val="00A92096"/>
    <w:rsid w:val="00AA20E6"/>
    <w:rsid w:val="00AA4BFA"/>
    <w:rsid w:val="00AA4D96"/>
    <w:rsid w:val="00AA723C"/>
    <w:rsid w:val="00AB07C3"/>
    <w:rsid w:val="00AB486C"/>
    <w:rsid w:val="00AB4A8E"/>
    <w:rsid w:val="00AC16ED"/>
    <w:rsid w:val="00AD646C"/>
    <w:rsid w:val="00AE05E2"/>
    <w:rsid w:val="00AE0C6D"/>
    <w:rsid w:val="00AE2569"/>
    <w:rsid w:val="00AE3ADA"/>
    <w:rsid w:val="00AE442C"/>
    <w:rsid w:val="00AE541D"/>
    <w:rsid w:val="00AE6012"/>
    <w:rsid w:val="00AE6B42"/>
    <w:rsid w:val="00AF6D19"/>
    <w:rsid w:val="00B01BDB"/>
    <w:rsid w:val="00B02177"/>
    <w:rsid w:val="00B03245"/>
    <w:rsid w:val="00B0344E"/>
    <w:rsid w:val="00B10BC8"/>
    <w:rsid w:val="00B118B4"/>
    <w:rsid w:val="00B11993"/>
    <w:rsid w:val="00B119E4"/>
    <w:rsid w:val="00B138DE"/>
    <w:rsid w:val="00B1627F"/>
    <w:rsid w:val="00B26880"/>
    <w:rsid w:val="00B31BD3"/>
    <w:rsid w:val="00B327EC"/>
    <w:rsid w:val="00B33766"/>
    <w:rsid w:val="00B33FB8"/>
    <w:rsid w:val="00B348CC"/>
    <w:rsid w:val="00B34B5C"/>
    <w:rsid w:val="00B35198"/>
    <w:rsid w:val="00B3546C"/>
    <w:rsid w:val="00B36242"/>
    <w:rsid w:val="00B36CA7"/>
    <w:rsid w:val="00B37BD1"/>
    <w:rsid w:val="00B37C7B"/>
    <w:rsid w:val="00B44E87"/>
    <w:rsid w:val="00B538D3"/>
    <w:rsid w:val="00B57CC5"/>
    <w:rsid w:val="00B60402"/>
    <w:rsid w:val="00B614E0"/>
    <w:rsid w:val="00B62A8A"/>
    <w:rsid w:val="00B6472A"/>
    <w:rsid w:val="00B65E9B"/>
    <w:rsid w:val="00B67CB2"/>
    <w:rsid w:val="00B7041F"/>
    <w:rsid w:val="00B7595B"/>
    <w:rsid w:val="00B761AC"/>
    <w:rsid w:val="00B764E3"/>
    <w:rsid w:val="00B80E94"/>
    <w:rsid w:val="00B82192"/>
    <w:rsid w:val="00B86084"/>
    <w:rsid w:val="00B902D1"/>
    <w:rsid w:val="00B91022"/>
    <w:rsid w:val="00B943AE"/>
    <w:rsid w:val="00BA0A29"/>
    <w:rsid w:val="00BA10A4"/>
    <w:rsid w:val="00BA4139"/>
    <w:rsid w:val="00BA49B5"/>
    <w:rsid w:val="00BB3E82"/>
    <w:rsid w:val="00BB42D0"/>
    <w:rsid w:val="00BC3407"/>
    <w:rsid w:val="00BC6763"/>
    <w:rsid w:val="00BC7D63"/>
    <w:rsid w:val="00BD3961"/>
    <w:rsid w:val="00BD42ED"/>
    <w:rsid w:val="00BD54D6"/>
    <w:rsid w:val="00BE19F8"/>
    <w:rsid w:val="00BE490E"/>
    <w:rsid w:val="00BE68A7"/>
    <w:rsid w:val="00BE68B9"/>
    <w:rsid w:val="00BE73FB"/>
    <w:rsid w:val="00BF0006"/>
    <w:rsid w:val="00C01958"/>
    <w:rsid w:val="00C034E7"/>
    <w:rsid w:val="00C06830"/>
    <w:rsid w:val="00C16A93"/>
    <w:rsid w:val="00C16B06"/>
    <w:rsid w:val="00C17384"/>
    <w:rsid w:val="00C21384"/>
    <w:rsid w:val="00C21553"/>
    <w:rsid w:val="00C304E3"/>
    <w:rsid w:val="00C32A12"/>
    <w:rsid w:val="00C357E9"/>
    <w:rsid w:val="00C3660C"/>
    <w:rsid w:val="00C37DB8"/>
    <w:rsid w:val="00C40D87"/>
    <w:rsid w:val="00C411EB"/>
    <w:rsid w:val="00C4372C"/>
    <w:rsid w:val="00C449F9"/>
    <w:rsid w:val="00C472ED"/>
    <w:rsid w:val="00C47A25"/>
    <w:rsid w:val="00C47F1A"/>
    <w:rsid w:val="00C60316"/>
    <w:rsid w:val="00C61E4D"/>
    <w:rsid w:val="00C624D8"/>
    <w:rsid w:val="00C67AA3"/>
    <w:rsid w:val="00C739C2"/>
    <w:rsid w:val="00C73D53"/>
    <w:rsid w:val="00C82938"/>
    <w:rsid w:val="00C839F8"/>
    <w:rsid w:val="00C84808"/>
    <w:rsid w:val="00C85692"/>
    <w:rsid w:val="00C86B84"/>
    <w:rsid w:val="00C93846"/>
    <w:rsid w:val="00C94786"/>
    <w:rsid w:val="00C95D3C"/>
    <w:rsid w:val="00C9679F"/>
    <w:rsid w:val="00CA01B5"/>
    <w:rsid w:val="00CA0A2F"/>
    <w:rsid w:val="00CA3F1D"/>
    <w:rsid w:val="00CA465F"/>
    <w:rsid w:val="00CA60E9"/>
    <w:rsid w:val="00CB0DD5"/>
    <w:rsid w:val="00CB152D"/>
    <w:rsid w:val="00CB5DBE"/>
    <w:rsid w:val="00CC185C"/>
    <w:rsid w:val="00CC5D70"/>
    <w:rsid w:val="00CC73E3"/>
    <w:rsid w:val="00CC7776"/>
    <w:rsid w:val="00CD1DF4"/>
    <w:rsid w:val="00CD1F69"/>
    <w:rsid w:val="00CE1837"/>
    <w:rsid w:val="00CE2032"/>
    <w:rsid w:val="00CE22BE"/>
    <w:rsid w:val="00CF213E"/>
    <w:rsid w:val="00CF39A8"/>
    <w:rsid w:val="00CF5A32"/>
    <w:rsid w:val="00D006D0"/>
    <w:rsid w:val="00D01C85"/>
    <w:rsid w:val="00D028A1"/>
    <w:rsid w:val="00D037C0"/>
    <w:rsid w:val="00D104B8"/>
    <w:rsid w:val="00D156B2"/>
    <w:rsid w:val="00D235E7"/>
    <w:rsid w:val="00D31BCC"/>
    <w:rsid w:val="00D32A5B"/>
    <w:rsid w:val="00D3424F"/>
    <w:rsid w:val="00D377E3"/>
    <w:rsid w:val="00D37A1A"/>
    <w:rsid w:val="00D42F0C"/>
    <w:rsid w:val="00D4474C"/>
    <w:rsid w:val="00D51B4D"/>
    <w:rsid w:val="00D539F6"/>
    <w:rsid w:val="00D55930"/>
    <w:rsid w:val="00D6043A"/>
    <w:rsid w:val="00D632A9"/>
    <w:rsid w:val="00D64C88"/>
    <w:rsid w:val="00D65188"/>
    <w:rsid w:val="00D72221"/>
    <w:rsid w:val="00D732D7"/>
    <w:rsid w:val="00D761F7"/>
    <w:rsid w:val="00D77303"/>
    <w:rsid w:val="00D85128"/>
    <w:rsid w:val="00D936E6"/>
    <w:rsid w:val="00DA106F"/>
    <w:rsid w:val="00DA21C9"/>
    <w:rsid w:val="00DA3E32"/>
    <w:rsid w:val="00DA7B9D"/>
    <w:rsid w:val="00DB08D3"/>
    <w:rsid w:val="00DB1909"/>
    <w:rsid w:val="00DB24BD"/>
    <w:rsid w:val="00DB6427"/>
    <w:rsid w:val="00DB6DCB"/>
    <w:rsid w:val="00DD051D"/>
    <w:rsid w:val="00DD40E4"/>
    <w:rsid w:val="00DE13A8"/>
    <w:rsid w:val="00DE1495"/>
    <w:rsid w:val="00DE2D4F"/>
    <w:rsid w:val="00DE405F"/>
    <w:rsid w:val="00DE7B5C"/>
    <w:rsid w:val="00DF0EE7"/>
    <w:rsid w:val="00DF1E46"/>
    <w:rsid w:val="00DF2335"/>
    <w:rsid w:val="00DF3892"/>
    <w:rsid w:val="00DF5BDE"/>
    <w:rsid w:val="00E06C0D"/>
    <w:rsid w:val="00E06DF0"/>
    <w:rsid w:val="00E112C8"/>
    <w:rsid w:val="00E114D6"/>
    <w:rsid w:val="00E17C31"/>
    <w:rsid w:val="00E22AC6"/>
    <w:rsid w:val="00E235F6"/>
    <w:rsid w:val="00E23D93"/>
    <w:rsid w:val="00E3132A"/>
    <w:rsid w:val="00E332F6"/>
    <w:rsid w:val="00E3499B"/>
    <w:rsid w:val="00E37932"/>
    <w:rsid w:val="00E413A5"/>
    <w:rsid w:val="00E42A49"/>
    <w:rsid w:val="00E456CA"/>
    <w:rsid w:val="00E46E7D"/>
    <w:rsid w:val="00E5026B"/>
    <w:rsid w:val="00E51231"/>
    <w:rsid w:val="00E53985"/>
    <w:rsid w:val="00E55024"/>
    <w:rsid w:val="00E57310"/>
    <w:rsid w:val="00E6193B"/>
    <w:rsid w:val="00E61C13"/>
    <w:rsid w:val="00E721D8"/>
    <w:rsid w:val="00E7551A"/>
    <w:rsid w:val="00E758D6"/>
    <w:rsid w:val="00E75B8C"/>
    <w:rsid w:val="00E769AD"/>
    <w:rsid w:val="00E76D16"/>
    <w:rsid w:val="00E81A57"/>
    <w:rsid w:val="00E81A79"/>
    <w:rsid w:val="00E83B72"/>
    <w:rsid w:val="00E85544"/>
    <w:rsid w:val="00E86F2B"/>
    <w:rsid w:val="00E90730"/>
    <w:rsid w:val="00E91E59"/>
    <w:rsid w:val="00E95EFA"/>
    <w:rsid w:val="00E97D65"/>
    <w:rsid w:val="00EA32C6"/>
    <w:rsid w:val="00EA52E8"/>
    <w:rsid w:val="00EB0BB3"/>
    <w:rsid w:val="00EB2E42"/>
    <w:rsid w:val="00EC29F8"/>
    <w:rsid w:val="00EC5597"/>
    <w:rsid w:val="00EC6CA4"/>
    <w:rsid w:val="00EC724C"/>
    <w:rsid w:val="00ED0B16"/>
    <w:rsid w:val="00ED148E"/>
    <w:rsid w:val="00ED192E"/>
    <w:rsid w:val="00EE0B95"/>
    <w:rsid w:val="00EE4F92"/>
    <w:rsid w:val="00EE7D26"/>
    <w:rsid w:val="00EF57CE"/>
    <w:rsid w:val="00EF5CD3"/>
    <w:rsid w:val="00F004C8"/>
    <w:rsid w:val="00F03836"/>
    <w:rsid w:val="00F04B65"/>
    <w:rsid w:val="00F06F8B"/>
    <w:rsid w:val="00F15E9D"/>
    <w:rsid w:val="00F21102"/>
    <w:rsid w:val="00F21ACC"/>
    <w:rsid w:val="00F24916"/>
    <w:rsid w:val="00F25A40"/>
    <w:rsid w:val="00F31037"/>
    <w:rsid w:val="00F31748"/>
    <w:rsid w:val="00F338E0"/>
    <w:rsid w:val="00F36924"/>
    <w:rsid w:val="00F40479"/>
    <w:rsid w:val="00F43FC7"/>
    <w:rsid w:val="00F50DD9"/>
    <w:rsid w:val="00F52338"/>
    <w:rsid w:val="00F5660A"/>
    <w:rsid w:val="00F6361D"/>
    <w:rsid w:val="00F63A6B"/>
    <w:rsid w:val="00F646F5"/>
    <w:rsid w:val="00F64D36"/>
    <w:rsid w:val="00F66DD0"/>
    <w:rsid w:val="00F70DE0"/>
    <w:rsid w:val="00F716ED"/>
    <w:rsid w:val="00F732A7"/>
    <w:rsid w:val="00F752DB"/>
    <w:rsid w:val="00F7562F"/>
    <w:rsid w:val="00F8027F"/>
    <w:rsid w:val="00F8108B"/>
    <w:rsid w:val="00F8175B"/>
    <w:rsid w:val="00F81C0D"/>
    <w:rsid w:val="00F90AB4"/>
    <w:rsid w:val="00F91CB0"/>
    <w:rsid w:val="00F94C32"/>
    <w:rsid w:val="00FA544A"/>
    <w:rsid w:val="00FA5508"/>
    <w:rsid w:val="00FA5876"/>
    <w:rsid w:val="00FB526A"/>
    <w:rsid w:val="00FB56FB"/>
    <w:rsid w:val="00FC22EC"/>
    <w:rsid w:val="00FC2535"/>
    <w:rsid w:val="00FC4AAF"/>
    <w:rsid w:val="00FD2B69"/>
    <w:rsid w:val="00FD3175"/>
    <w:rsid w:val="00FD427F"/>
    <w:rsid w:val="00FD42EE"/>
    <w:rsid w:val="00FD43C4"/>
    <w:rsid w:val="00FD4425"/>
    <w:rsid w:val="00FE2F5E"/>
    <w:rsid w:val="00FE3408"/>
    <w:rsid w:val="00FE7B0B"/>
    <w:rsid w:val="00FF2B1D"/>
    <w:rsid w:val="00FF4B6B"/>
    <w:rsid w:val="00FF5151"/>
    <w:rsid w:val="00FF6D10"/>
    <w:rsid w:val="00FF72EA"/>
    <w:rsid w:val="00FF72EB"/>
    <w:rsid w:val="00FF79DB"/>
    <w:rsid w:val="00FF7F5E"/>
    <w:rsid w:val="010178DB"/>
    <w:rsid w:val="0121079C"/>
    <w:rsid w:val="01322EFC"/>
    <w:rsid w:val="014053BC"/>
    <w:rsid w:val="01767EF3"/>
    <w:rsid w:val="01D30AF5"/>
    <w:rsid w:val="01DC24B9"/>
    <w:rsid w:val="01DE5185"/>
    <w:rsid w:val="0213568A"/>
    <w:rsid w:val="03140547"/>
    <w:rsid w:val="03203016"/>
    <w:rsid w:val="03C30A13"/>
    <w:rsid w:val="03E16673"/>
    <w:rsid w:val="04A80842"/>
    <w:rsid w:val="04D7648A"/>
    <w:rsid w:val="04FA14E6"/>
    <w:rsid w:val="050B0AD1"/>
    <w:rsid w:val="0528439D"/>
    <w:rsid w:val="0531362C"/>
    <w:rsid w:val="054D6974"/>
    <w:rsid w:val="057207F6"/>
    <w:rsid w:val="05D90BCF"/>
    <w:rsid w:val="05FC6B91"/>
    <w:rsid w:val="063F4EC2"/>
    <w:rsid w:val="070D6D82"/>
    <w:rsid w:val="07732DB2"/>
    <w:rsid w:val="07B8320C"/>
    <w:rsid w:val="07CF0ACE"/>
    <w:rsid w:val="07D13112"/>
    <w:rsid w:val="09285CF7"/>
    <w:rsid w:val="09687692"/>
    <w:rsid w:val="0A031FF0"/>
    <w:rsid w:val="0AA13162"/>
    <w:rsid w:val="0AB6258A"/>
    <w:rsid w:val="0B452B9B"/>
    <w:rsid w:val="0B5770DF"/>
    <w:rsid w:val="0C1A62B1"/>
    <w:rsid w:val="0C335F5C"/>
    <w:rsid w:val="0C372CCD"/>
    <w:rsid w:val="0C3E34F8"/>
    <w:rsid w:val="0C5603A3"/>
    <w:rsid w:val="0C5C2346"/>
    <w:rsid w:val="0C5E5BB8"/>
    <w:rsid w:val="0C8D0956"/>
    <w:rsid w:val="0C94782E"/>
    <w:rsid w:val="0CDD6BCC"/>
    <w:rsid w:val="0D3565D1"/>
    <w:rsid w:val="0D7F3E99"/>
    <w:rsid w:val="0DA41AC3"/>
    <w:rsid w:val="0E215C17"/>
    <w:rsid w:val="0E5B23D4"/>
    <w:rsid w:val="0E9603EA"/>
    <w:rsid w:val="0F5E066F"/>
    <w:rsid w:val="0F6E3B50"/>
    <w:rsid w:val="0FDB5BF8"/>
    <w:rsid w:val="0FF0756D"/>
    <w:rsid w:val="10BB60F9"/>
    <w:rsid w:val="10CB03AE"/>
    <w:rsid w:val="110A33B6"/>
    <w:rsid w:val="11265165"/>
    <w:rsid w:val="1148447E"/>
    <w:rsid w:val="11973802"/>
    <w:rsid w:val="11BE139A"/>
    <w:rsid w:val="11DD3BBA"/>
    <w:rsid w:val="11EC5E17"/>
    <w:rsid w:val="121432F4"/>
    <w:rsid w:val="12DD2EED"/>
    <w:rsid w:val="1301505A"/>
    <w:rsid w:val="13060296"/>
    <w:rsid w:val="13545A8B"/>
    <w:rsid w:val="13840F17"/>
    <w:rsid w:val="13992498"/>
    <w:rsid w:val="13B25960"/>
    <w:rsid w:val="140F5863"/>
    <w:rsid w:val="15C21802"/>
    <w:rsid w:val="15D233F0"/>
    <w:rsid w:val="16266F5F"/>
    <w:rsid w:val="16320B1F"/>
    <w:rsid w:val="16A8700F"/>
    <w:rsid w:val="16C016B3"/>
    <w:rsid w:val="16D00C09"/>
    <w:rsid w:val="172735A6"/>
    <w:rsid w:val="172939D1"/>
    <w:rsid w:val="17596B0C"/>
    <w:rsid w:val="17AC41D5"/>
    <w:rsid w:val="18A962E7"/>
    <w:rsid w:val="18B20DA1"/>
    <w:rsid w:val="197C450A"/>
    <w:rsid w:val="19931B20"/>
    <w:rsid w:val="1A154751"/>
    <w:rsid w:val="1A217D97"/>
    <w:rsid w:val="1A3D0ED4"/>
    <w:rsid w:val="1A580152"/>
    <w:rsid w:val="1AB60AB7"/>
    <w:rsid w:val="1B733CDF"/>
    <w:rsid w:val="1BC70618"/>
    <w:rsid w:val="1BC84718"/>
    <w:rsid w:val="1BD02AA2"/>
    <w:rsid w:val="1BDC6183"/>
    <w:rsid w:val="1BE545CB"/>
    <w:rsid w:val="1C0C72BC"/>
    <w:rsid w:val="1C146FC9"/>
    <w:rsid w:val="1C213878"/>
    <w:rsid w:val="1C6311B2"/>
    <w:rsid w:val="1CBE541D"/>
    <w:rsid w:val="1CDB04F6"/>
    <w:rsid w:val="1CF245F9"/>
    <w:rsid w:val="1D1D0E35"/>
    <w:rsid w:val="1D250BA1"/>
    <w:rsid w:val="1D7A36FA"/>
    <w:rsid w:val="1D922E32"/>
    <w:rsid w:val="1DD93DB9"/>
    <w:rsid w:val="1E5E3775"/>
    <w:rsid w:val="1E7F1AFF"/>
    <w:rsid w:val="1E8F1162"/>
    <w:rsid w:val="1ED06E8B"/>
    <w:rsid w:val="1EFF09E6"/>
    <w:rsid w:val="1F151346"/>
    <w:rsid w:val="1F3A466A"/>
    <w:rsid w:val="1F8C23DA"/>
    <w:rsid w:val="1FA13095"/>
    <w:rsid w:val="1FC62E4A"/>
    <w:rsid w:val="1FE040BC"/>
    <w:rsid w:val="20152CE5"/>
    <w:rsid w:val="204801C9"/>
    <w:rsid w:val="213334EB"/>
    <w:rsid w:val="21916F90"/>
    <w:rsid w:val="21A95488"/>
    <w:rsid w:val="22314524"/>
    <w:rsid w:val="228C71CA"/>
    <w:rsid w:val="22DE11E6"/>
    <w:rsid w:val="249C6AFD"/>
    <w:rsid w:val="24C64B9D"/>
    <w:rsid w:val="254E2C71"/>
    <w:rsid w:val="25726F60"/>
    <w:rsid w:val="25951B90"/>
    <w:rsid w:val="25D450BA"/>
    <w:rsid w:val="26E116DC"/>
    <w:rsid w:val="27160EE4"/>
    <w:rsid w:val="2764537F"/>
    <w:rsid w:val="277B4CFD"/>
    <w:rsid w:val="28247630"/>
    <w:rsid w:val="283A32F8"/>
    <w:rsid w:val="28752B19"/>
    <w:rsid w:val="2876124D"/>
    <w:rsid w:val="28AA01F1"/>
    <w:rsid w:val="29C926E7"/>
    <w:rsid w:val="29EC0622"/>
    <w:rsid w:val="2A377783"/>
    <w:rsid w:val="2A6266E9"/>
    <w:rsid w:val="2A6C54A9"/>
    <w:rsid w:val="2A9F4192"/>
    <w:rsid w:val="2BB45953"/>
    <w:rsid w:val="2D1347F5"/>
    <w:rsid w:val="2D21664A"/>
    <w:rsid w:val="2D7352E2"/>
    <w:rsid w:val="2D8B5BEE"/>
    <w:rsid w:val="2D943172"/>
    <w:rsid w:val="2E1F4E09"/>
    <w:rsid w:val="2E291DF3"/>
    <w:rsid w:val="2E433C51"/>
    <w:rsid w:val="2E823349"/>
    <w:rsid w:val="2F203705"/>
    <w:rsid w:val="2F2902C9"/>
    <w:rsid w:val="2F34651F"/>
    <w:rsid w:val="2F425E94"/>
    <w:rsid w:val="2FB81F38"/>
    <w:rsid w:val="2FE95C2E"/>
    <w:rsid w:val="2FFE2912"/>
    <w:rsid w:val="30BC2EBC"/>
    <w:rsid w:val="30F046D4"/>
    <w:rsid w:val="31073B5C"/>
    <w:rsid w:val="31147CD6"/>
    <w:rsid w:val="31FF72AF"/>
    <w:rsid w:val="32781A64"/>
    <w:rsid w:val="32782FFB"/>
    <w:rsid w:val="32B86F81"/>
    <w:rsid w:val="339A10EE"/>
    <w:rsid w:val="33AD7803"/>
    <w:rsid w:val="33CC15C4"/>
    <w:rsid w:val="33E81F62"/>
    <w:rsid w:val="33FA3136"/>
    <w:rsid w:val="34B71EA5"/>
    <w:rsid w:val="34F20DA1"/>
    <w:rsid w:val="353577A9"/>
    <w:rsid w:val="357B0EFD"/>
    <w:rsid w:val="35CA2DB9"/>
    <w:rsid w:val="35F41D4F"/>
    <w:rsid w:val="361E7E3B"/>
    <w:rsid w:val="3621266D"/>
    <w:rsid w:val="364A72A3"/>
    <w:rsid w:val="36974B68"/>
    <w:rsid w:val="37134BC0"/>
    <w:rsid w:val="373D405B"/>
    <w:rsid w:val="375C2773"/>
    <w:rsid w:val="384C47A3"/>
    <w:rsid w:val="38917082"/>
    <w:rsid w:val="38BF2D6C"/>
    <w:rsid w:val="39031BEB"/>
    <w:rsid w:val="39072F88"/>
    <w:rsid w:val="39483D57"/>
    <w:rsid w:val="394D7D0F"/>
    <w:rsid w:val="399E4DCC"/>
    <w:rsid w:val="39F8521F"/>
    <w:rsid w:val="39FE179F"/>
    <w:rsid w:val="3A2A0E15"/>
    <w:rsid w:val="3B3F2D85"/>
    <w:rsid w:val="3B5330E7"/>
    <w:rsid w:val="3BD85452"/>
    <w:rsid w:val="3BEB6346"/>
    <w:rsid w:val="3BF6596E"/>
    <w:rsid w:val="3C125C3B"/>
    <w:rsid w:val="3CC86BE5"/>
    <w:rsid w:val="3CED6006"/>
    <w:rsid w:val="3D132062"/>
    <w:rsid w:val="3D83213E"/>
    <w:rsid w:val="3DDB4F84"/>
    <w:rsid w:val="3F033133"/>
    <w:rsid w:val="3F07560F"/>
    <w:rsid w:val="3F1073A2"/>
    <w:rsid w:val="3F6D6B69"/>
    <w:rsid w:val="3F844337"/>
    <w:rsid w:val="3FB40018"/>
    <w:rsid w:val="3FD3744D"/>
    <w:rsid w:val="3FEF7ADA"/>
    <w:rsid w:val="409E001C"/>
    <w:rsid w:val="40A83A07"/>
    <w:rsid w:val="416F41D1"/>
    <w:rsid w:val="41BA0644"/>
    <w:rsid w:val="41F05DAA"/>
    <w:rsid w:val="428A76BF"/>
    <w:rsid w:val="42EC395B"/>
    <w:rsid w:val="434F15AD"/>
    <w:rsid w:val="4388454E"/>
    <w:rsid w:val="438A277C"/>
    <w:rsid w:val="447479BB"/>
    <w:rsid w:val="447C10F1"/>
    <w:rsid w:val="44E17C83"/>
    <w:rsid w:val="44EF7612"/>
    <w:rsid w:val="45C85E8B"/>
    <w:rsid w:val="46FD5BE1"/>
    <w:rsid w:val="47722D16"/>
    <w:rsid w:val="478E1DDE"/>
    <w:rsid w:val="47E56E6A"/>
    <w:rsid w:val="481923FF"/>
    <w:rsid w:val="48694D5A"/>
    <w:rsid w:val="48C25CA3"/>
    <w:rsid w:val="48E21409"/>
    <w:rsid w:val="48F53192"/>
    <w:rsid w:val="490579E7"/>
    <w:rsid w:val="49060209"/>
    <w:rsid w:val="493A417A"/>
    <w:rsid w:val="494F2FD1"/>
    <w:rsid w:val="497146B0"/>
    <w:rsid w:val="4A490D8F"/>
    <w:rsid w:val="4A5356BE"/>
    <w:rsid w:val="4AAC67E8"/>
    <w:rsid w:val="4AB26D7B"/>
    <w:rsid w:val="4AB9636A"/>
    <w:rsid w:val="4B315FE3"/>
    <w:rsid w:val="4B5323A8"/>
    <w:rsid w:val="4B693D86"/>
    <w:rsid w:val="4B8F40E0"/>
    <w:rsid w:val="4BC36005"/>
    <w:rsid w:val="4CA37BED"/>
    <w:rsid w:val="4CAD58BE"/>
    <w:rsid w:val="4CCE6154"/>
    <w:rsid w:val="4CD708C0"/>
    <w:rsid w:val="4D4E4989"/>
    <w:rsid w:val="4D6B4742"/>
    <w:rsid w:val="4D966DEC"/>
    <w:rsid w:val="4DE74B53"/>
    <w:rsid w:val="4E873EC5"/>
    <w:rsid w:val="4EEB4DAE"/>
    <w:rsid w:val="4F0F2B66"/>
    <w:rsid w:val="4F296C73"/>
    <w:rsid w:val="4F393240"/>
    <w:rsid w:val="4F3D252B"/>
    <w:rsid w:val="4F747F89"/>
    <w:rsid w:val="4FC85BCB"/>
    <w:rsid w:val="50331FAE"/>
    <w:rsid w:val="505A3052"/>
    <w:rsid w:val="506247ED"/>
    <w:rsid w:val="50BB1BCE"/>
    <w:rsid w:val="51044E66"/>
    <w:rsid w:val="5128622E"/>
    <w:rsid w:val="514725A2"/>
    <w:rsid w:val="51477AEC"/>
    <w:rsid w:val="51541FB9"/>
    <w:rsid w:val="51653541"/>
    <w:rsid w:val="51BA3918"/>
    <w:rsid w:val="52C837F5"/>
    <w:rsid w:val="52FB6FDA"/>
    <w:rsid w:val="533150FC"/>
    <w:rsid w:val="535459AE"/>
    <w:rsid w:val="53557EE6"/>
    <w:rsid w:val="53B23A34"/>
    <w:rsid w:val="541702E3"/>
    <w:rsid w:val="55172147"/>
    <w:rsid w:val="55794964"/>
    <w:rsid w:val="55A22FA6"/>
    <w:rsid w:val="55AE397F"/>
    <w:rsid w:val="55D026AD"/>
    <w:rsid w:val="56214ACF"/>
    <w:rsid w:val="56403B5B"/>
    <w:rsid w:val="567505FD"/>
    <w:rsid w:val="56820A81"/>
    <w:rsid w:val="56AA68E1"/>
    <w:rsid w:val="56D26193"/>
    <w:rsid w:val="574657AA"/>
    <w:rsid w:val="57B233A0"/>
    <w:rsid w:val="586B2478"/>
    <w:rsid w:val="58865E64"/>
    <w:rsid w:val="58C255AE"/>
    <w:rsid w:val="58DE6711"/>
    <w:rsid w:val="58E8682F"/>
    <w:rsid w:val="58F3136B"/>
    <w:rsid w:val="58F9403E"/>
    <w:rsid w:val="591E0F83"/>
    <w:rsid w:val="59737793"/>
    <w:rsid w:val="59B663AA"/>
    <w:rsid w:val="5A4D3BF6"/>
    <w:rsid w:val="5AA23482"/>
    <w:rsid w:val="5B3E042E"/>
    <w:rsid w:val="5B512E4A"/>
    <w:rsid w:val="5B6B290C"/>
    <w:rsid w:val="5BA86985"/>
    <w:rsid w:val="5BC70423"/>
    <w:rsid w:val="5BE55FB8"/>
    <w:rsid w:val="5BFD4EC8"/>
    <w:rsid w:val="5C55335F"/>
    <w:rsid w:val="5C914C90"/>
    <w:rsid w:val="5CDD77D2"/>
    <w:rsid w:val="5D514298"/>
    <w:rsid w:val="5D622F2D"/>
    <w:rsid w:val="5DE52B43"/>
    <w:rsid w:val="5E114E4D"/>
    <w:rsid w:val="5E3D71AC"/>
    <w:rsid w:val="5E954ECC"/>
    <w:rsid w:val="5F192FD7"/>
    <w:rsid w:val="5F2430A4"/>
    <w:rsid w:val="5F26263A"/>
    <w:rsid w:val="5F323616"/>
    <w:rsid w:val="5F762EF1"/>
    <w:rsid w:val="5FA72226"/>
    <w:rsid w:val="5FAD2F97"/>
    <w:rsid w:val="5FC6029B"/>
    <w:rsid w:val="5FD96977"/>
    <w:rsid w:val="5FF81F45"/>
    <w:rsid w:val="60003EDC"/>
    <w:rsid w:val="60405D44"/>
    <w:rsid w:val="604959AE"/>
    <w:rsid w:val="605D0790"/>
    <w:rsid w:val="60E216EA"/>
    <w:rsid w:val="610D2545"/>
    <w:rsid w:val="613269C6"/>
    <w:rsid w:val="61371FA3"/>
    <w:rsid w:val="61600D4F"/>
    <w:rsid w:val="61C15C3A"/>
    <w:rsid w:val="62001EE2"/>
    <w:rsid w:val="62077B16"/>
    <w:rsid w:val="620C6CE6"/>
    <w:rsid w:val="621E5C69"/>
    <w:rsid w:val="62867A17"/>
    <w:rsid w:val="632640B2"/>
    <w:rsid w:val="63273AB6"/>
    <w:rsid w:val="63923277"/>
    <w:rsid w:val="64143874"/>
    <w:rsid w:val="64477A04"/>
    <w:rsid w:val="64714C1E"/>
    <w:rsid w:val="64893CF5"/>
    <w:rsid w:val="64C212AC"/>
    <w:rsid w:val="655D4CEF"/>
    <w:rsid w:val="65BB756F"/>
    <w:rsid w:val="66027D44"/>
    <w:rsid w:val="66420C8D"/>
    <w:rsid w:val="66811333"/>
    <w:rsid w:val="67434ACE"/>
    <w:rsid w:val="675160F0"/>
    <w:rsid w:val="67873AE3"/>
    <w:rsid w:val="679E29E3"/>
    <w:rsid w:val="67B313A0"/>
    <w:rsid w:val="67C46DBD"/>
    <w:rsid w:val="68043A23"/>
    <w:rsid w:val="68087A20"/>
    <w:rsid w:val="68124293"/>
    <w:rsid w:val="6849284A"/>
    <w:rsid w:val="68A37534"/>
    <w:rsid w:val="68B72779"/>
    <w:rsid w:val="68EB6BC6"/>
    <w:rsid w:val="69006315"/>
    <w:rsid w:val="69366BE8"/>
    <w:rsid w:val="69A02C99"/>
    <w:rsid w:val="69B2578A"/>
    <w:rsid w:val="6A3A745F"/>
    <w:rsid w:val="6A5326E7"/>
    <w:rsid w:val="6A7800D0"/>
    <w:rsid w:val="6A9476A7"/>
    <w:rsid w:val="6ABF53AC"/>
    <w:rsid w:val="6B740773"/>
    <w:rsid w:val="6BA96793"/>
    <w:rsid w:val="6BE47E9D"/>
    <w:rsid w:val="6BEC725C"/>
    <w:rsid w:val="6C2D715B"/>
    <w:rsid w:val="6C396224"/>
    <w:rsid w:val="6CCC2F03"/>
    <w:rsid w:val="6D7C1A08"/>
    <w:rsid w:val="6D7E3DB9"/>
    <w:rsid w:val="6E165581"/>
    <w:rsid w:val="6E394EAE"/>
    <w:rsid w:val="6EBC525F"/>
    <w:rsid w:val="6EED19D9"/>
    <w:rsid w:val="6EEE2197"/>
    <w:rsid w:val="6EEF7E4F"/>
    <w:rsid w:val="6F182E8D"/>
    <w:rsid w:val="6F2D12A0"/>
    <w:rsid w:val="702A5664"/>
    <w:rsid w:val="705C77B2"/>
    <w:rsid w:val="7079517D"/>
    <w:rsid w:val="709F2B11"/>
    <w:rsid w:val="70F03E4F"/>
    <w:rsid w:val="72247F25"/>
    <w:rsid w:val="72BB566D"/>
    <w:rsid w:val="72FE0135"/>
    <w:rsid w:val="73021E25"/>
    <w:rsid w:val="733B0CC7"/>
    <w:rsid w:val="743533C3"/>
    <w:rsid w:val="74802BBE"/>
    <w:rsid w:val="748E5B2A"/>
    <w:rsid w:val="75017925"/>
    <w:rsid w:val="7578797C"/>
    <w:rsid w:val="75BF5C57"/>
    <w:rsid w:val="75F82E5D"/>
    <w:rsid w:val="76287E23"/>
    <w:rsid w:val="76437394"/>
    <w:rsid w:val="76C86AA1"/>
    <w:rsid w:val="76EB7264"/>
    <w:rsid w:val="77082B49"/>
    <w:rsid w:val="7801310F"/>
    <w:rsid w:val="79A732D1"/>
    <w:rsid w:val="79BA4A36"/>
    <w:rsid w:val="7AD6416D"/>
    <w:rsid w:val="7B031093"/>
    <w:rsid w:val="7BCD7517"/>
    <w:rsid w:val="7BD503F6"/>
    <w:rsid w:val="7BE03058"/>
    <w:rsid w:val="7C0039D3"/>
    <w:rsid w:val="7C05780E"/>
    <w:rsid w:val="7C6C6D2C"/>
    <w:rsid w:val="7C7163B3"/>
    <w:rsid w:val="7D45640A"/>
    <w:rsid w:val="7DD78BFD"/>
    <w:rsid w:val="7DDD641C"/>
    <w:rsid w:val="7DE6504F"/>
    <w:rsid w:val="7DEC76CD"/>
    <w:rsid w:val="7E7E36DF"/>
    <w:rsid w:val="7E7E506D"/>
    <w:rsid w:val="7F3E3C42"/>
    <w:rsid w:val="7F751639"/>
    <w:rsid w:val="7FA81C5A"/>
    <w:rsid w:val="7FE956A8"/>
    <w:rsid w:val="F9FF999B"/>
    <w:rsid w:val="FBFFD57E"/>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2"/>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0"/>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4"/>
    <w:qFormat/>
    <w:uiPriority w:val="0"/>
    <w:pPr>
      <w:spacing w:before="240" w:after="240"/>
      <w:outlineLvl w:val="2"/>
    </w:pPr>
    <w:rPr>
      <w:b/>
      <w:sz w:val="24"/>
    </w:rPr>
  </w:style>
  <w:style w:type="character" w:default="1" w:styleId="18">
    <w:name w:val="Default Paragraph Font"/>
    <w:unhideWhenUsed/>
    <w:qFormat/>
    <w:uiPriority w:val="1"/>
  </w:style>
  <w:style w:type="table" w:default="1" w:styleId="16">
    <w:name w:val="Normal Table"/>
    <w:unhideWhenUsed/>
    <w:qFormat/>
    <w:uiPriority w:val="99"/>
    <w:tblPr>
      <w:tblCellMar>
        <w:top w:w="0" w:type="dxa"/>
        <w:left w:w="108" w:type="dxa"/>
        <w:bottom w:w="0" w:type="dxa"/>
        <w:right w:w="108" w:type="dxa"/>
      </w:tblCellMar>
    </w:tblPr>
  </w:style>
  <w:style w:type="paragraph" w:styleId="5">
    <w:name w:val="Normal Indent"/>
    <w:basedOn w:val="1"/>
    <w:next w:val="6"/>
    <w:qFormat/>
    <w:uiPriority w:val="0"/>
    <w:pPr>
      <w:ind w:firstLine="420"/>
    </w:pPr>
    <w:rPr>
      <w:rFonts w:ascii="Times New Roman" w:hAnsi="Times New Roman"/>
      <w:szCs w:val="20"/>
    </w:rPr>
  </w:style>
  <w:style w:type="paragraph" w:styleId="6">
    <w:name w:val="Body Text"/>
    <w:basedOn w:val="1"/>
    <w:qFormat/>
    <w:uiPriority w:val="0"/>
    <w:pPr>
      <w:jc w:val="center"/>
    </w:pPr>
    <w:rPr>
      <w:rFonts w:ascii="宋体" w:hAnsi="宋体"/>
      <w:color w:val="FF0000"/>
      <w:szCs w:val="24"/>
    </w:rPr>
  </w:style>
  <w:style w:type="paragraph" w:styleId="7">
    <w:name w:val="annotation text"/>
    <w:basedOn w:val="1"/>
    <w:unhideWhenUsed/>
    <w:qFormat/>
    <w:uiPriority w:val="99"/>
    <w:pPr>
      <w:jc w:val="left"/>
    </w:pPr>
  </w:style>
  <w:style w:type="paragraph" w:styleId="8">
    <w:name w:val="Body Text Indent"/>
    <w:basedOn w:val="1"/>
    <w:qFormat/>
    <w:uiPriority w:val="0"/>
    <w:pPr>
      <w:spacing w:line="360" w:lineRule="auto"/>
      <w:ind w:left="720" w:hanging="720" w:hangingChars="300"/>
    </w:pPr>
    <w:rPr>
      <w:sz w:val="24"/>
      <w:szCs w:val="20"/>
    </w:rPr>
  </w:style>
  <w:style w:type="paragraph" w:styleId="9">
    <w:name w:val="Plain Text"/>
    <w:basedOn w:val="1"/>
    <w:link w:val="25"/>
    <w:qFormat/>
    <w:uiPriority w:val="0"/>
    <w:rPr>
      <w:rFonts w:ascii="宋体" w:hAnsi="Courier New" w:cs="Courier New"/>
      <w:szCs w:val="21"/>
    </w:rPr>
  </w:style>
  <w:style w:type="paragraph" w:styleId="10">
    <w:name w:val="Date"/>
    <w:basedOn w:val="1"/>
    <w:next w:val="1"/>
    <w:qFormat/>
    <w:uiPriority w:val="0"/>
    <w:rPr>
      <w:szCs w:val="20"/>
    </w:rPr>
  </w:style>
  <w:style w:type="paragraph" w:styleId="11">
    <w:name w:val="footer"/>
    <w:basedOn w:val="1"/>
    <w:link w:val="29"/>
    <w:qFormat/>
    <w:uiPriority w:val="99"/>
    <w:pPr>
      <w:tabs>
        <w:tab w:val="center" w:pos="4153"/>
        <w:tab w:val="right" w:pos="8306"/>
      </w:tabs>
      <w:snapToGrid w:val="0"/>
      <w:jc w:val="left"/>
    </w:pPr>
    <w:rPr>
      <w:sz w:val="18"/>
      <w:szCs w:val="18"/>
    </w:rPr>
  </w:style>
  <w:style w:type="paragraph" w:styleId="12">
    <w:name w:val="header"/>
    <w:basedOn w:val="1"/>
    <w:link w:val="28"/>
    <w:qFormat/>
    <w:uiPriority w:val="0"/>
    <w:pPr>
      <w:pBdr>
        <w:bottom w:val="single" w:color="auto" w:sz="6" w:space="1"/>
      </w:pBdr>
      <w:tabs>
        <w:tab w:val="center" w:pos="4153"/>
        <w:tab w:val="right" w:pos="8306"/>
      </w:tabs>
      <w:snapToGrid w:val="0"/>
      <w:jc w:val="center"/>
    </w:pPr>
    <w:rPr>
      <w:sz w:val="18"/>
      <w:szCs w:val="18"/>
    </w:rPr>
  </w:style>
  <w:style w:type="paragraph" w:styleId="13">
    <w:name w:val="Body Text 2"/>
    <w:basedOn w:val="1"/>
    <w:qFormat/>
    <w:uiPriority w:val="0"/>
    <w:pPr>
      <w:spacing w:line="360" w:lineRule="auto"/>
    </w:pPr>
    <w:rPr>
      <w:sz w:val="24"/>
    </w:rPr>
  </w:style>
  <w:style w:type="paragraph" w:styleId="14">
    <w:name w:val="Normal (Web)"/>
    <w:basedOn w:val="1"/>
    <w:qFormat/>
    <w:uiPriority w:val="0"/>
    <w:pPr>
      <w:spacing w:before="100" w:beforeAutospacing="1" w:after="100" w:afterAutospacing="1"/>
      <w:jc w:val="left"/>
    </w:pPr>
    <w:rPr>
      <w:kern w:val="0"/>
      <w:sz w:val="24"/>
      <w:szCs w:val="20"/>
    </w:rPr>
  </w:style>
  <w:style w:type="paragraph" w:styleId="15">
    <w:name w:val="Title"/>
    <w:basedOn w:val="1"/>
    <w:next w:val="1"/>
    <w:qFormat/>
    <w:uiPriority w:val="0"/>
    <w:pPr>
      <w:spacing w:before="240" w:beforeLines="0" w:after="60" w:afterLines="0"/>
      <w:jc w:val="center"/>
      <w:outlineLvl w:val="0"/>
    </w:pPr>
    <w:rPr>
      <w:rFonts w:ascii="Arial" w:hAnsi="Arial" w:eastAsia="宋体" w:cs="Arial"/>
      <w:b/>
      <w:bCs/>
      <w:sz w:val="32"/>
      <w:szCs w:val="32"/>
    </w:rPr>
  </w:style>
  <w:style w:type="table" w:styleId="17">
    <w:name w:val="Table Grid"/>
    <w:basedOn w:val="16"/>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9">
    <w:name w:val="Strong"/>
    <w:basedOn w:val="18"/>
    <w:qFormat/>
    <w:uiPriority w:val="22"/>
    <w:rPr>
      <w:b/>
      <w:bCs/>
    </w:rPr>
  </w:style>
  <w:style w:type="character" w:styleId="20">
    <w:name w:val="Hyperlink"/>
    <w:basedOn w:val="18"/>
    <w:qFormat/>
    <w:uiPriority w:val="0"/>
    <w:rPr>
      <w:color w:val="0000FF"/>
      <w:u w:val="single"/>
    </w:rPr>
  </w:style>
  <w:style w:type="character" w:styleId="21">
    <w:name w:val="annotation reference"/>
    <w:unhideWhenUsed/>
    <w:qFormat/>
    <w:uiPriority w:val="99"/>
    <w:rPr>
      <w:sz w:val="21"/>
      <w:szCs w:val="21"/>
    </w:rPr>
  </w:style>
  <w:style w:type="character" w:customStyle="1" w:styleId="22">
    <w:name w:val="标题 1 Char"/>
    <w:basedOn w:val="18"/>
    <w:link w:val="2"/>
    <w:qFormat/>
    <w:uiPriority w:val="0"/>
    <w:rPr>
      <w:b/>
      <w:bCs/>
      <w:kern w:val="44"/>
      <w:sz w:val="44"/>
      <w:szCs w:val="44"/>
    </w:rPr>
  </w:style>
  <w:style w:type="paragraph" w:customStyle="1" w:styleId="23">
    <w:name w:val="Default"/>
    <w:qFormat/>
    <w:uiPriority w:val="0"/>
    <w:pPr>
      <w:autoSpaceDE w:val="0"/>
      <w:autoSpaceDN w:val="0"/>
      <w:adjustRightInd w:val="0"/>
    </w:pPr>
    <w:rPr>
      <w:rFonts w:ascii="Times New Roman" w:hAnsi="Times New Roman" w:cs="Times New Roman" w:eastAsiaTheme="minorEastAsia"/>
      <w:color w:val="000000"/>
      <w:sz w:val="24"/>
      <w:szCs w:val="24"/>
      <w:lang w:val="en-US" w:eastAsia="zh-CN" w:bidi="ar-SA"/>
    </w:rPr>
  </w:style>
  <w:style w:type="character" w:customStyle="1" w:styleId="24">
    <w:name w:val="标题 3 Char"/>
    <w:basedOn w:val="18"/>
    <w:link w:val="4"/>
    <w:qFormat/>
    <w:uiPriority w:val="0"/>
    <w:rPr>
      <w:b/>
      <w:kern w:val="2"/>
      <w:sz w:val="24"/>
    </w:rPr>
  </w:style>
  <w:style w:type="character" w:customStyle="1" w:styleId="25">
    <w:name w:val="纯文本 Char"/>
    <w:basedOn w:val="18"/>
    <w:link w:val="9"/>
    <w:qFormat/>
    <w:uiPriority w:val="0"/>
    <w:rPr>
      <w:rFonts w:ascii="宋体" w:hAnsi="Courier New" w:cs="Courier New"/>
      <w:kern w:val="2"/>
      <w:sz w:val="21"/>
      <w:szCs w:val="21"/>
    </w:rPr>
  </w:style>
  <w:style w:type="paragraph" w:customStyle="1" w:styleId="26">
    <w:name w:val="Char"/>
    <w:basedOn w:val="1"/>
    <w:qFormat/>
    <w:uiPriority w:val="0"/>
    <w:rPr>
      <w:rFonts w:ascii="仿宋_GB2312" w:eastAsia="仿宋_GB2312"/>
      <w:b/>
      <w:sz w:val="32"/>
      <w:szCs w:val="32"/>
    </w:rPr>
  </w:style>
  <w:style w:type="paragraph" w:customStyle="1" w:styleId="27">
    <w:name w:val="样式 (西文) 宋体 行距: 1.5 倍行距"/>
    <w:basedOn w:val="1"/>
    <w:qFormat/>
    <w:uiPriority w:val="0"/>
    <w:pPr>
      <w:spacing w:line="360" w:lineRule="auto"/>
    </w:pPr>
    <w:rPr>
      <w:rFonts w:ascii="宋体" w:hAnsi="宋体" w:cs="宋体"/>
    </w:rPr>
  </w:style>
  <w:style w:type="character" w:customStyle="1" w:styleId="28">
    <w:name w:val="页眉 Char"/>
    <w:basedOn w:val="18"/>
    <w:link w:val="12"/>
    <w:qFormat/>
    <w:uiPriority w:val="0"/>
    <w:rPr>
      <w:kern w:val="2"/>
      <w:sz w:val="18"/>
      <w:szCs w:val="18"/>
    </w:rPr>
  </w:style>
  <w:style w:type="character" w:customStyle="1" w:styleId="29">
    <w:name w:val="页脚 Char"/>
    <w:basedOn w:val="18"/>
    <w:link w:val="11"/>
    <w:qFormat/>
    <w:uiPriority w:val="99"/>
    <w:rPr>
      <w:kern w:val="2"/>
      <w:sz w:val="18"/>
      <w:szCs w:val="18"/>
    </w:rPr>
  </w:style>
  <w:style w:type="character" w:customStyle="1" w:styleId="30">
    <w:name w:val="标题 2 Char"/>
    <w:basedOn w:val="18"/>
    <w:link w:val="3"/>
    <w:semiHidden/>
    <w:qFormat/>
    <w:uiPriority w:val="0"/>
    <w:rPr>
      <w:rFonts w:asciiTheme="majorHAnsi" w:hAnsiTheme="majorHAnsi" w:eastAsiaTheme="majorEastAsia" w:cstheme="majorBidi"/>
      <w:b/>
      <w:bCs/>
      <w:kern w:val="2"/>
      <w:sz w:val="32"/>
      <w:szCs w:val="32"/>
    </w:rPr>
  </w:style>
  <w:style w:type="paragraph" w:customStyle="1" w:styleId="31">
    <w:name w:val="List Paragraph"/>
    <w:basedOn w:val="1"/>
    <w:qFormat/>
    <w:uiPriority w:val="34"/>
    <w:pPr>
      <w:ind w:firstLine="420" w:firstLineChars="200"/>
    </w:pPr>
    <w:rPr>
      <w:rFonts w:ascii="Calibri" w:hAnsi="Calibri"/>
      <w:szCs w:val="22"/>
    </w:rPr>
  </w:style>
  <w:style w:type="paragraph" w:customStyle="1" w:styleId="32">
    <w:name w:val="表格"/>
    <w:basedOn w:val="1"/>
    <w:qFormat/>
    <w:uiPriority w:val="0"/>
    <w:pPr>
      <w:spacing w:line="360" w:lineRule="auto"/>
    </w:pPr>
    <w:rPr>
      <w:rFonts w:ascii="仿宋_GB2312" w:hAnsi="宋体" w:eastAsia="仿宋_GB2312"/>
      <w:bCs/>
      <w:color w:val="333333"/>
      <w:kern w:val="0"/>
      <w:sz w:val="28"/>
      <w:szCs w:val="24"/>
    </w:rPr>
  </w:style>
  <w:style w:type="paragraph" w:customStyle="1" w:styleId="33">
    <w:name w:val="_Style 1"/>
    <w:basedOn w:val="1"/>
    <w:qFormat/>
    <w:uiPriority w:val="34"/>
    <w:pPr>
      <w:ind w:firstLine="420" w:firstLineChars="200"/>
    </w:pPr>
  </w:style>
  <w:style w:type="paragraph" w:customStyle="1" w:styleId="34">
    <w:name w:val="样式3"/>
    <w:basedOn w:val="1"/>
    <w:qFormat/>
    <w:uiPriority w:val="0"/>
    <w:pPr>
      <w:spacing w:line="0" w:lineRule="atLeast"/>
      <w:outlineLvl w:val="0"/>
    </w:pPr>
    <w:rPr>
      <w:rFonts w:ascii="宋体" w:hAnsi="Courier New"/>
      <w:sz w:val="28"/>
      <w:szCs w:val="24"/>
    </w:rPr>
  </w:style>
  <w:style w:type="paragraph" w:customStyle="1" w:styleId="35">
    <w:name w:val="列出段落3"/>
    <w:basedOn w:val="1"/>
    <w:qFormat/>
    <w:uiPriority w:val="99"/>
    <w:pPr>
      <w:widowControl/>
      <w:spacing w:after="200" w:line="276" w:lineRule="auto"/>
      <w:ind w:firstLine="420" w:firstLineChars="200"/>
      <w:jc w:val="left"/>
    </w:pPr>
    <w:rPr>
      <w:kern w:val="0"/>
      <w:sz w:val="22"/>
      <w:szCs w:val="24"/>
    </w:rPr>
  </w:style>
  <w:style w:type="paragraph" w:customStyle="1" w:styleId="36">
    <w:name w:val="招标文件样式2"/>
    <w:basedOn w:val="1"/>
    <w:qFormat/>
    <w:uiPriority w:val="99"/>
    <w:pPr>
      <w:jc w:val="center"/>
      <w:outlineLvl w:val="0"/>
    </w:pPr>
    <w:rPr>
      <w:rFonts w:ascii="宋体" w:hAnsi="宋体"/>
      <w:b/>
      <w:sz w:val="28"/>
      <w:szCs w:val="28"/>
    </w:rPr>
  </w:style>
  <w:style w:type="paragraph" w:customStyle="1" w:styleId="37">
    <w:name w:val="列出段落1"/>
    <w:basedOn w:val="1"/>
    <w:qFormat/>
    <w:uiPriority w:val="99"/>
    <w:pPr>
      <w:ind w:firstLine="420" w:firstLineChars="200"/>
    </w:pPr>
  </w:style>
  <w:style w:type="paragraph" w:customStyle="1" w:styleId="38">
    <w:name w:val="文档正文"/>
    <w:basedOn w:val="1"/>
    <w:qFormat/>
    <w:uiPriority w:val="0"/>
    <w:pPr>
      <w:adjustRightInd w:val="0"/>
      <w:spacing w:line="312" w:lineRule="atLeast"/>
      <w:ind w:firstLine="567"/>
      <w:textAlignment w:val="baseline"/>
    </w:pPr>
    <w:rPr>
      <w:rFonts w:ascii="长城仿宋" w:eastAsia="长城仿宋" w:hAnsiTheme="minorHAnsi" w:cstheme="minorBidi"/>
      <w:snapToGrid w:val="0"/>
      <w:kern w:val="0"/>
      <w:sz w:val="28"/>
      <w:szCs w:val="22"/>
    </w:rPr>
  </w:style>
  <w:style w:type="paragraph" w:customStyle="1" w:styleId="39">
    <w:name w:val="List Paragraph1"/>
    <w:basedOn w:val="1"/>
    <w:qFormat/>
    <w:uiPriority w:val="99"/>
    <w:pPr>
      <w:ind w:firstLine="420" w:firstLineChars="200"/>
    </w:pPr>
  </w:style>
  <w:style w:type="paragraph" w:customStyle="1" w:styleId="40">
    <w:name w:val="msolistparagraph"/>
    <w:basedOn w:val="1"/>
    <w:qFormat/>
    <w:uiPriority w:val="0"/>
    <w:pPr>
      <w:adjustRightInd w:val="0"/>
      <w:snapToGrid w:val="0"/>
      <w:ind w:firstLine="420" w:firstLineChars="200"/>
    </w:pPr>
    <w:rPr>
      <w:sz w:val="28"/>
      <w:szCs w:val="24"/>
    </w:rPr>
  </w:style>
  <w:style w:type="character" w:customStyle="1" w:styleId="41">
    <w:name w:val="font31"/>
    <w:basedOn w:val="18"/>
    <w:qFormat/>
    <w:uiPriority w:val="0"/>
    <w:rPr>
      <w:rFonts w:hint="eastAsia" w:ascii="宋体" w:hAnsi="宋体" w:eastAsia="宋体" w:cs="Times New Roman"/>
      <w:color w:val="000000"/>
      <w:sz w:val="20"/>
      <w:szCs w:val="20"/>
      <w:u w:val="none"/>
    </w:rPr>
  </w:style>
  <w:style w:type="character" w:customStyle="1" w:styleId="42">
    <w:name w:val="font21"/>
    <w:basedOn w:val="18"/>
    <w:qFormat/>
    <w:uiPriority w:val="0"/>
    <w:rPr>
      <w:rFonts w:hint="eastAsia" w:ascii="宋体" w:hAnsi="宋体" w:eastAsia="宋体" w:cs="宋体"/>
      <w:color w:val="000000"/>
      <w:sz w:val="18"/>
      <w:szCs w:val="18"/>
      <w:u w:val="none"/>
    </w:rPr>
  </w:style>
  <w:style w:type="paragraph" w:customStyle="1" w:styleId="43">
    <w:name w:val="Body text|1"/>
    <w:basedOn w:val="1"/>
    <w:qFormat/>
    <w:uiPriority w:val="0"/>
    <w:pPr>
      <w:widowControl w:val="0"/>
      <w:shd w:val="clear" w:color="auto" w:fill="auto"/>
      <w:spacing w:line="444" w:lineRule="auto"/>
    </w:pPr>
    <w:rPr>
      <w:rFonts w:ascii="宋体" w:hAnsi="宋体" w:eastAsia="宋体" w:cs="宋体"/>
      <w:sz w:val="22"/>
      <w:szCs w:val="22"/>
      <w:u w:val="none"/>
      <w:shd w:val="clear" w:color="auto" w:fill="auto"/>
      <w:lang w:val="zh-TW" w:eastAsia="zh-TW" w:bidi="zh-TW"/>
    </w:rPr>
  </w:style>
  <w:style w:type="paragraph" w:customStyle="1" w:styleId="44">
    <w:name w:val="Body text|2"/>
    <w:basedOn w:val="1"/>
    <w:qFormat/>
    <w:uiPriority w:val="0"/>
    <w:pPr>
      <w:widowControl w:val="0"/>
      <w:shd w:val="clear" w:color="auto" w:fill="auto"/>
      <w:spacing w:line="468" w:lineRule="exact"/>
      <w:ind w:left="180" w:hanging="180"/>
    </w:pPr>
    <w:rPr>
      <w:sz w:val="22"/>
      <w:szCs w:val="22"/>
      <w:u w:val="none"/>
      <w:shd w:val="clear" w:color="auto" w:fill="auto"/>
    </w:rPr>
  </w:style>
  <w:style w:type="paragraph" w:customStyle="1" w:styleId="45">
    <w:name w:val="Table Paragraph"/>
    <w:basedOn w:val="1"/>
    <w:qFormat/>
    <w:uiPriority w:val="1"/>
    <w:pPr>
      <w:autoSpaceDE w:val="0"/>
      <w:autoSpaceDN w:val="0"/>
      <w:jc w:val="left"/>
    </w:pPr>
    <w:rPr>
      <w:rFonts w:ascii="黑体" w:hAnsi="黑体" w:eastAsia="黑体" w:cs="黑体"/>
      <w:kern w:val="0"/>
      <w:sz w:val="22"/>
      <w:szCs w:val="22"/>
      <w:lang w:val="zh-CN" w:bidi="zh-CN"/>
    </w:rPr>
  </w:style>
  <w:style w:type="paragraph" w:customStyle="1" w:styleId="46">
    <w:name w:val="（符号）三标题1.1"/>
    <w:basedOn w:val="1"/>
    <w:qFormat/>
    <w:uiPriority w:val="0"/>
    <w:pPr>
      <w:numPr>
        <w:ilvl w:val="1"/>
        <w:numId w:val="1"/>
      </w:numPr>
      <w:spacing w:line="500" w:lineRule="exact"/>
    </w:pPr>
    <w:rPr>
      <w:rFonts w:ascii="宋体" w:hAnsi="宋体"/>
      <w:kern w:val="0"/>
      <w:sz w:val="24"/>
      <w:szCs w:val="20"/>
    </w:rPr>
  </w:style>
  <w:style w:type="paragraph" w:customStyle="1" w:styleId="47">
    <w:name w:val="(符号)三标题1.1"/>
    <w:basedOn w:val="1"/>
    <w:qFormat/>
    <w:uiPriority w:val="0"/>
    <w:pPr>
      <w:numPr>
        <w:ilvl w:val="0"/>
        <w:numId w:val="2"/>
      </w:numPr>
      <w:spacing w:before="140" w:after="140" w:line="500" w:lineRule="exact"/>
      <w:outlineLvl w:val="2"/>
    </w:pPr>
    <w:rPr>
      <w:rFonts w:ascii="楷体_GB2312" w:hAnsi="宋体" w:eastAsia="楷体_GB2312"/>
      <w:b/>
      <w:sz w:val="28"/>
      <w:szCs w:val="20"/>
    </w:rPr>
  </w:style>
  <w:style w:type="character" w:customStyle="1" w:styleId="48">
    <w:name w:val="font51"/>
    <w:basedOn w:val="18"/>
    <w:qFormat/>
    <w:uiPriority w:val="0"/>
    <w:rPr>
      <w:rFonts w:ascii="宋体" w:hAnsi="宋体" w:eastAsia="宋体" w:cs="宋体"/>
      <w:b/>
      <w:bCs/>
      <w:color w:val="000000"/>
      <w:sz w:val="38"/>
      <w:szCs w:val="38"/>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http://schemas.openxmlformats.org/officeDocument/2006/bibliography" xmlns:b="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0062B0C-6525-40BD-B860-EA693F49E77D}">
  <ds:schemaRefs/>
</ds:datastoreItem>
</file>

<file path=docProps/app.xml><?xml version="1.0" encoding="utf-8"?>
<Properties xmlns="http://schemas.openxmlformats.org/officeDocument/2006/extended-properties" xmlns:vt="http://schemas.openxmlformats.org/officeDocument/2006/docPropsVTypes">
  <Company>China</Company>
  <Pages>24</Pages>
  <Words>9297</Words>
  <Characters>9689</Characters>
  <Lines>48</Lines>
  <Paragraphs>13</Paragraphs>
  <TotalTime>0</TotalTime>
  <ScaleCrop>false</ScaleCrop>
  <LinksUpToDate>false</LinksUpToDate>
  <CharactersWithSpaces>10324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2017-05-24T09:07:00Z</dcterms:created>
  <dc:creator>User</dc:creator>
  <cp:lastModifiedBy>罗志明</cp:lastModifiedBy>
  <cp:lastPrinted>2017-09-06T16:05:00Z</cp:lastPrinted>
  <dcterms:modified xsi:type="dcterms:W3CDTF">2026-06-09T01:55:24Z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171B2DA9D0374AD388CAE0F0044F1352_13</vt:lpwstr>
  </property>
  <property fmtid="{D5CDD505-2E9C-101B-9397-08002B2CF9AE}" pid="4" name="KSOTemplateDocerSaveRecord">
    <vt:lpwstr>eyJoZGlkIjoiYmE5MGMyZmM1NjcxNGFhODI2NDNiM2YxMjdiZWM2ZmYiLCJ1c2VySWQiOiI0MDUxNjM0NDUifQ==</vt:lpwstr>
  </property>
</Properties>
</file>