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3267">
      <w:pPr>
        <w:numPr>
          <w:ilvl w:val="0"/>
          <w:numId w:val="0"/>
        </w:numPr>
        <w:spacing w:before="240" w:beforeLines="100" w:after="184" w:afterLines="77" w:line="360" w:lineRule="auto"/>
        <w:jc w:val="left"/>
        <w:outlineLvl w:val="2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</w:p>
    <w:p w14:paraId="1B10416E">
      <w:pPr>
        <w:numPr>
          <w:ilvl w:val="0"/>
          <w:numId w:val="0"/>
        </w:numPr>
        <w:ind w:left="210" w:left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63DE4DB6">
      <w:pPr>
        <w:numPr>
          <w:ilvl w:val="0"/>
          <w:numId w:val="0"/>
        </w:numPr>
        <w:ind w:left="210" w:left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北京大学深圳医院</w:t>
      </w:r>
    </w:p>
    <w:p w14:paraId="0A8D4E6F">
      <w:pPr>
        <w:numPr>
          <w:ilvl w:val="0"/>
          <w:numId w:val="0"/>
        </w:numPr>
        <w:ind w:left="21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新媒体运营服务项目市场调研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信息表</w:t>
      </w:r>
    </w:p>
    <w:p w14:paraId="65ACD852">
      <w:pPr>
        <w:jc w:val="center"/>
        <w:rPr>
          <w:b/>
          <w:bCs/>
          <w:sz w:val="72"/>
          <w:szCs w:val="72"/>
        </w:rPr>
      </w:pPr>
    </w:p>
    <w:p w14:paraId="561FDE23">
      <w:pPr>
        <w:jc w:val="center"/>
        <w:rPr>
          <w:b/>
          <w:bCs/>
          <w:sz w:val="72"/>
          <w:szCs w:val="72"/>
        </w:rPr>
      </w:pPr>
    </w:p>
    <w:p w14:paraId="43491597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填报企业（盖章）：________________________</w:t>
      </w:r>
    </w:p>
    <w:p w14:paraId="597D950E">
      <w:pPr>
        <w:spacing w:line="720" w:lineRule="auto"/>
        <w:ind w:left="840" w:leftChars="4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填报日期：______年______月______日</w:t>
      </w:r>
    </w:p>
    <w:p w14:paraId="53DDEE8D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联系人：______________</w:t>
      </w:r>
    </w:p>
    <w:p w14:paraId="6ABD5412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联系电话：____________</w:t>
      </w:r>
    </w:p>
    <w:p w14:paraId="157332B8">
      <w:pPr>
        <w:spacing w:line="720" w:lineRule="auto"/>
        <w:ind w:left="840" w:left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电子邮箱：____________</w:t>
      </w:r>
    </w:p>
    <w:p w14:paraId="2A0A42D3">
      <w:pPr>
        <w:rPr>
          <w:rFonts w:hint="eastAsia" w:ascii="宋体" w:hAnsi="宋体" w:eastAsia="宋体" w:cs="Therese"/>
          <w:b/>
          <w:sz w:val="32"/>
          <w:szCs w:val="32"/>
        </w:rPr>
      </w:pPr>
      <w:r>
        <w:rPr>
          <w:rFonts w:hint="eastAsia" w:ascii="宋体" w:hAnsi="宋体" w:eastAsia="宋体" w:cs="Therese"/>
          <w:b/>
          <w:sz w:val="32"/>
          <w:szCs w:val="32"/>
        </w:rPr>
        <w:br w:type="page"/>
      </w:r>
    </w:p>
    <w:p w14:paraId="6B7A8A89">
      <w:pPr>
        <w:numPr>
          <w:ilvl w:val="0"/>
          <w:numId w:val="0"/>
        </w:numPr>
        <w:spacing w:before="240" w:beforeLines="100" w:after="184" w:afterLines="77" w:line="360" w:lineRule="auto"/>
        <w:jc w:val="center"/>
        <w:outlineLvl w:val="2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第一部分：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项目需求</w:t>
      </w:r>
    </w:p>
    <w:p w14:paraId="60709349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一、项目内容</w:t>
      </w:r>
    </w:p>
    <w:p w14:paraId="4F76DCC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应当具备相关综合新媒体和新闻策划执行能力，按照采购人的要求，组建新媒体运营团队，完成项目所需的方案策划、选题策划、稿件撰写、文案编辑、内容制作、互动管理、数据监测、运营推广、阶段评估等工作，持续提高医院新媒体平台的传播力。根据医院需求，本项目服务范围包括北京大学深圳医院集团(北京大学深圳医院、深圳市新华医院、深圳市深汕人民医院）的整体宣传。</w:t>
      </w:r>
    </w:p>
    <w:p w14:paraId="3F49B01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03C1E03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二、具体服务内容</w:t>
      </w:r>
    </w:p>
    <w:tbl>
      <w:tblPr>
        <w:tblStyle w:val="2"/>
        <w:tblpPr w:leftFromText="180" w:rightFromText="180" w:vertAnchor="text" w:horzAnchor="page" w:tblpX="1457" w:tblpY="103"/>
        <w:tblOverlap w:val="never"/>
        <w:tblW w:w="9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470"/>
        <w:gridCol w:w="6906"/>
      </w:tblGrid>
      <w:tr w14:paraId="32055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FB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DB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68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具体要求</w:t>
            </w:r>
          </w:p>
        </w:tc>
      </w:tr>
      <w:tr w14:paraId="3291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2A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E6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媒体平台规范化管理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60C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以“北大深圳医院”官方微信公众号（服务号、订阅号）为重点，逐步完善今日头条、微博、小红书等全媒体平台矩阵建设，完善各平台栏目设置，统一、优化视觉设计，分发优质内容，进行多平台账号的日常维护和运营。</w:t>
            </w:r>
          </w:p>
        </w:tc>
      </w:tr>
      <w:tr w14:paraId="24E7B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44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DD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运营团队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E997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组建不少于5人采编运营团队保障项目运营（4人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非驻点），含项目负责人、新媒体编辑、新闻采编、美术设计等工作人员，团队具备优良的创意策划能力，新闻采、写、拍、摄能力，内容运维及渠道推广能力、粉丝运营能力、画面设计能力、及时响应能力。</w:t>
            </w:r>
          </w:p>
          <w:p w14:paraId="74561DD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排其中1名具有三年以上相关工作经验的新媒体编辑进行驻点工作，配合医院需求，协助走访、撰稿并及时有效推送微信公众号内容，协助做好标题、内容、政治把关，协助优质稿件修改在主流媒体刊发。每周驻点服务不少于4天，工作时间与医院方同步，节假日需线上待命。</w:t>
            </w:r>
          </w:p>
        </w:tc>
      </w:tr>
      <w:tr w14:paraId="3880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8D6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3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F81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内容生产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2ED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围绕医院中心工作，注重运用生动活泼、通俗易懂的语言及图片、音频、视频等大众喜闻乐见的形式，抓住健康流量密码，生产高质量的新媒体内容，提升医院品牌宣传力：</w:t>
            </w:r>
          </w:p>
          <w:p w14:paraId="376F5AE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建立选题会机制：运营团队每季度来院召开一次重点宣传选题会，确定下季度重要选题内容。结合医院工作重点，如开展主题活动策划，以线上活动或内容策划为主，由院方决定。</w:t>
            </w:r>
          </w:p>
          <w:p w14:paraId="0A05F45E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推文发布频率和频次：全年发布推文≥150篇（原创图文稿件每周1-2篇）；服务号每周发布一次，每次至少3-4篇；订阅号、今日头条、微博等其他平台每周至少1篇；节假日需提前准备节日推送。</w:t>
            </w:r>
          </w:p>
          <w:p w14:paraId="39100111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多形式内容：运用图文、海报、长图、动图、小游戏、H5、视频等多种表现形式，生产制作优质内容。节日电子海报制作，全年至少10张；长图和漫画制作，全年不少于6张；新闻短视频，全年不少于6个。</w:t>
            </w:r>
          </w:p>
          <w:p w14:paraId="0E557A4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.策划线上或线下活动：积极挖掘医院自身属性，并充分利用供应商的平台和资源优势，策划各类特色粉丝互动活动，提高平台粉丝活跃度和医院品牌影响力。全年线上或线下活动不少于2场。</w:t>
            </w:r>
          </w:p>
          <w:p w14:paraId="602BDC8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5.日常素材收集：及时收集汇总医院亮点工作、新闻、事件等，形成并完善相关数据库(包括文字、照片及视频等形式)。</w:t>
            </w:r>
          </w:p>
        </w:tc>
      </w:tr>
      <w:tr w14:paraId="48C1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78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16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运营维护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F99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1.账号运营目标：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医院微信公众号（服务号）粉丝量每年提升8%-15%（当前为308万）。</w:t>
            </w:r>
          </w:p>
          <w:p w14:paraId="32F049F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2.推文运营目标：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确保每月科普推文至少3篇阅读量≥2万。</w:t>
            </w:r>
          </w:p>
          <w:p w14:paraId="165B930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论互动区管理：做好各新媒体平台留言区管理工作，及时回应评论提出的与医疗相关的疑问，协助解决广大群众的疑惑，积极互动提升用户粘性，对热议话题、意见、建议等进行汇总。每季度提供1份，全年提供4份。</w:t>
            </w:r>
          </w:p>
          <w:p w14:paraId="1DD52AC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4.微信公众号运营报告：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每季度出具公众号运营报告，年度运营结束后出具总结，全年运营报告不少于5份。</w:t>
            </w:r>
          </w:p>
          <w:p w14:paraId="7F9626A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5.账号管理：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根据项目需求，协助完成新媒体平台的年度认证和续费等工作。</w:t>
            </w:r>
          </w:p>
        </w:tc>
      </w:tr>
      <w:tr w14:paraId="7882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14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7F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危机管控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CD73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提供舆情监测服务，发现负面及不实信息蔓延，第一时间报告院方相关负责人，协同院方应对公关危机，按要求提供危机应对方案并执行。</w:t>
            </w:r>
          </w:p>
        </w:tc>
      </w:tr>
      <w:tr w14:paraId="48232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9D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89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新媒体能力培训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923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根据院方需求，策划实施新闻写作、新闻摄影、短视频制作、新媒体运营技巧、舆情应对处置等专题培训，每年至少1次。</w:t>
            </w:r>
          </w:p>
        </w:tc>
      </w:tr>
      <w:tr w14:paraId="271C0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441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859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其他服务内容</w:t>
            </w:r>
          </w:p>
        </w:tc>
        <w:tc>
          <w:tcPr>
            <w:tcW w:w="6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B119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依托供应商的各类宣传平台资源，为医院的品牌宣传提供必要的宣传支持，扩大品牌宣传的曝光量。</w:t>
            </w:r>
          </w:p>
        </w:tc>
      </w:tr>
    </w:tbl>
    <w:p w14:paraId="43D429A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045D9BB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85E368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三、其他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要求</w:t>
      </w:r>
    </w:p>
    <w:p w14:paraId="1FCE05D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内容审核。严格执行“三审三校”制度，发布的内容需专业准确真实，通俗易懂，不得夸大、虚假和误导。所有传播的内容必须符合国家法律法规的规定,不得含有违法信息。对平台宣传内容进行审核把关，符合社会主义精神文明建设要求，避免出现错敏字词，避免触犯雷区、红线。</w:t>
      </w:r>
    </w:p>
    <w:p w14:paraId="0C7D8D8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2.隐私保护。在运营过程中，供应商要注意保护患者和家属的个人隐私，不得以任何形式对外披露患者和家属相关信息。</w:t>
      </w:r>
    </w:p>
    <w:p w14:paraId="144559D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3.知识产权。供应商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运营</w:t>
      </w:r>
      <w:r>
        <w:rPr>
          <w:rFonts w:hint="eastAsia" w:ascii="仿宋" w:hAnsi="仿宋" w:eastAsia="仿宋" w:cs="仿宋"/>
          <w:sz w:val="24"/>
          <w:szCs w:val="24"/>
        </w:rPr>
        <w:t>过程中的第三方产权，如编辑排版中所用到的音乐、字体、图像及各类剪辑工具等负责，保证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医院方</w:t>
      </w:r>
      <w:r>
        <w:rPr>
          <w:rFonts w:hint="eastAsia" w:ascii="仿宋" w:hAnsi="仿宋" w:eastAsia="仿宋" w:cs="仿宋"/>
          <w:sz w:val="24"/>
          <w:szCs w:val="24"/>
        </w:rPr>
        <w:t>在使用合同项下提供的服务时不侵犯任何第三方的著作权、专利、商标权等知识产权。</w:t>
      </w:r>
    </w:p>
    <w:p w14:paraId="227EAB69">
      <w:pPr>
        <w:spacing w:before="240" w:beforeLines="100" w:after="120" w:afterLines="50" w:line="360" w:lineRule="auto"/>
        <w:jc w:val="both"/>
        <w:outlineLvl w:val="2"/>
        <w:rPr>
          <w:rFonts w:hint="eastAsia" w:ascii="仿宋" w:hAnsi="仿宋" w:eastAsia="仿宋" w:cs="仿宋"/>
          <w:b/>
          <w:sz w:val="30"/>
          <w:szCs w:val="30"/>
        </w:rPr>
      </w:pPr>
    </w:p>
    <w:p w14:paraId="4E80300B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 w14:paraId="6B8D76DE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 w14:paraId="65F872F2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 w14:paraId="34122702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 w14:paraId="17F207BE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811A81E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9CC9EBE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385E95F"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第二部分：业绩表现和报价方案</w:t>
      </w:r>
    </w:p>
    <w:p w14:paraId="4488EFE6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2"/>
        <w:tblW w:w="9261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7604"/>
      </w:tblGrid>
      <w:tr w14:paraId="54A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6" w:hRule="atLeast"/>
        </w:trPr>
        <w:tc>
          <w:tcPr>
            <w:tcW w:w="165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291C8D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优势</w:t>
            </w:r>
          </w:p>
          <w:p w14:paraId="29B0FA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或特色服务</w:t>
            </w:r>
          </w:p>
          <w:p w14:paraId="01F399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（500字内）</w:t>
            </w:r>
          </w:p>
        </w:tc>
        <w:tc>
          <w:tcPr>
            <w:tcW w:w="7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5A311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DF7EB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B5B39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D7AC6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F3859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56C71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109AF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BBB8D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1682D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FB2FC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63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D7A1A3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业绩表现</w:t>
            </w:r>
          </w:p>
          <w:p w14:paraId="1C903B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342B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EB40F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合作单位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：________________ </w:t>
            </w:r>
          </w:p>
          <w:p w14:paraId="6A6909C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新媒体平台粉丝量：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________________ </w:t>
            </w:r>
          </w:p>
          <w:p w14:paraId="46A5523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服务内容：________________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 w14:paraId="5F4B049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效果/奖项：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________________ </w:t>
            </w:r>
          </w:p>
          <w:p w14:paraId="70449B3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名称：________________ </w:t>
            </w:r>
          </w:p>
          <w:p w14:paraId="79BDF82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新媒体平台粉丝量：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________________ </w:t>
            </w:r>
          </w:p>
          <w:p w14:paraId="5432579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服务内容：________________ </w:t>
            </w:r>
          </w:p>
          <w:p w14:paraId="5F06C0F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名称：________________ </w:t>
            </w:r>
          </w:p>
          <w:p w14:paraId="6FE6BFC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新媒体平台粉丝量：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________________ </w:t>
            </w:r>
          </w:p>
          <w:p w14:paraId="6628354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服务内容：________________ </w:t>
            </w:r>
          </w:p>
          <w:p w14:paraId="1ECA0AD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效果/奖项：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________________ </w:t>
            </w:r>
          </w:p>
          <w:p w14:paraId="41D1C18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增页</w:t>
            </w:r>
          </w:p>
        </w:tc>
      </w:tr>
      <w:tr w14:paraId="28A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226A7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报价方案</w:t>
            </w:r>
          </w:p>
          <w:p w14:paraId="108CA15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（元/年）</w:t>
            </w:r>
          </w:p>
        </w:tc>
        <w:tc>
          <w:tcPr>
            <w:tcW w:w="7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D99B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952C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81200-7F15-4ED8-9B79-0044BBD87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099326-91DB-4236-B16C-CE485196B6E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EA4E4F-9072-4B47-923C-2D3CF97FF8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030071-51E9-499A-984B-EA3121095D1B}"/>
  </w:font>
  <w:font w:name="Therese">
    <w:panose1 w:val="00000500000000000000"/>
    <w:charset w:val="00"/>
    <w:family w:val="auto"/>
    <w:pitch w:val="default"/>
    <w:sig w:usb0="20000007" w:usb1="00000000" w:usb2="00000000" w:usb3="00000000" w:csb0="00000193" w:csb1="00000000"/>
    <w:embedRegular r:id="rId5" w:fontKey="{6BA518F9-6C17-4743-9018-20257EFF2A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97372FC-F67B-4E4B-A550-EFF051DF81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C02CC"/>
    <w:multiLevelType w:val="singleLevel"/>
    <w:tmpl w:val="146C0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43CA"/>
    <w:rsid w:val="12DF0227"/>
    <w:rsid w:val="14C9739F"/>
    <w:rsid w:val="5FDA449D"/>
    <w:rsid w:val="710A43CA"/>
    <w:rsid w:val="79935991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2026-06-04T09:18:00Z</dcterms:created>
  <dc:creator>向雨航</dc:creator>
  <cp:lastModifiedBy>向雨航</cp:lastModifiedBy>
  <dcterms:modified xsi:type="dcterms:W3CDTF">2026-06-04T09:23:17Z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44ECC6672E4A4A91A3AFAD74CA1C3ED2_11</vt:lpwstr>
  </property>
  <property fmtid="{D5CDD505-2E9C-101B-9397-08002B2CF9AE}" pid="4" name="KSOTemplateDocerSaveRecord">
    <vt:lpwstr>eyJoZGlkIjoiYWFhZDUxNTMxMmRhYTRlZjU0ZDFjYWYwYWFhMmYwZWIiLCJ1c2VySWQiOiIzMjIxNjE0OTQifQ==</vt:lpwstr>
  </property>
</Properties>
</file>