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286D5">
      <w:pPr>
        <w:pStyle w:val="2"/>
        <w:spacing w:line="400" w:lineRule="exact"/>
        <w:rPr>
          <w:rFonts w:ascii="仿宋" w:hAnsi="仿宋" w:eastAsia="仿宋"/>
        </w:rPr>
      </w:pPr>
      <w:bookmarkStart w:id="0" w:name="_Toc135293180"/>
      <w:r>
        <w:rPr>
          <w:rFonts w:hint="eastAsia" w:ascii="仿宋" w:hAnsi="仿宋" w:eastAsia="仿宋"/>
        </w:rPr>
        <w:t>采购违法行为风险知悉确认书</w:t>
      </w:r>
      <w:bookmarkEnd w:id="0"/>
    </w:p>
    <w:p w14:paraId="438EA206">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我单位在报价前已充分知悉以下情形为参与采购活动时的重大风险事项</w:t>
      </w:r>
      <w:r>
        <w:rPr>
          <w:rFonts w:ascii="宋体" w:hAnsi="宋体" w:cs="宋体"/>
          <w:b/>
          <w:bCs/>
          <w:szCs w:val="21"/>
        </w:rPr>
        <w:t xml:space="preserve"> </w:t>
      </w:r>
    </w:p>
    <w:tbl>
      <w:tblPr>
        <w:tblStyle w:val="6"/>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2235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298C649C">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238B79A1">
            <w:pPr>
              <w:spacing w:line="400" w:lineRule="exact"/>
              <w:jc w:val="center"/>
              <w:rPr>
                <w:rFonts w:ascii="宋体" w:hAnsi="宋体" w:cs="宋体"/>
                <w:szCs w:val="21"/>
              </w:rPr>
            </w:pPr>
            <w:r>
              <w:rPr>
                <w:rFonts w:hint="eastAsia" w:ascii="宋体" w:hAnsi="宋体" w:cs="宋体"/>
                <w:b/>
                <w:bCs/>
                <w:szCs w:val="21"/>
              </w:rPr>
              <w:t>供应商参与询价禁止情形</w:t>
            </w:r>
          </w:p>
        </w:tc>
      </w:tr>
      <w:tr w14:paraId="47B6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E652D55">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66B8E1C4">
            <w:pPr>
              <w:spacing w:line="400" w:lineRule="exact"/>
              <w:jc w:val="left"/>
              <w:rPr>
                <w:rFonts w:ascii="宋体" w:hAnsi="宋体" w:cs="宋体"/>
                <w:szCs w:val="21"/>
              </w:rPr>
            </w:pPr>
            <w:r>
              <w:rPr>
                <w:rFonts w:hint="eastAsia" w:ascii="宋体" w:hAnsi="宋体" w:cs="宋体"/>
                <w:szCs w:val="21"/>
              </w:rPr>
              <w:t>与其他报价供应商的法定代表人、主要经营负责人、报价授权代表人、项目负责人、主要技术人员为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2C28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F8122B5">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0315752B">
            <w:pPr>
              <w:spacing w:line="400" w:lineRule="exact"/>
              <w:jc w:val="left"/>
              <w:rPr>
                <w:rFonts w:ascii="宋体" w:hAnsi="宋体" w:cs="宋体"/>
                <w:szCs w:val="21"/>
              </w:rPr>
            </w:pPr>
            <w:r>
              <w:rPr>
                <w:rFonts w:hint="eastAsia" w:ascii="宋体" w:hAnsi="宋体" w:cs="宋体"/>
                <w:szCs w:val="21"/>
              </w:rPr>
              <w:t>参与本项目询价活动时，与其他报价供应商存在单位负责人为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0B83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3B45A596">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2434029F">
            <w:pPr>
              <w:spacing w:line="400" w:lineRule="exact"/>
              <w:jc w:val="left"/>
              <w:rPr>
                <w:rFonts w:ascii="宋体" w:hAnsi="宋体" w:cs="宋体"/>
                <w:szCs w:val="21"/>
              </w:rPr>
            </w:pPr>
            <w:r>
              <w:rPr>
                <w:rFonts w:hint="eastAsia" w:ascii="宋体" w:hAnsi="宋体" w:cs="宋体"/>
                <w:szCs w:val="21"/>
              </w:rPr>
              <w:t>与其他报价供应商的报价文件或部分报价文件</w:t>
            </w:r>
            <w:r>
              <w:rPr>
                <w:rFonts w:hint="eastAsia" w:ascii="宋体" w:hAnsi="宋体" w:cs="宋体"/>
                <w:b/>
                <w:bCs/>
                <w:szCs w:val="21"/>
              </w:rPr>
              <w:t>相互混装或存在非正常一致</w:t>
            </w:r>
            <w:r>
              <w:rPr>
                <w:rFonts w:hint="eastAsia" w:ascii="宋体" w:hAnsi="宋体" w:cs="宋体"/>
                <w:szCs w:val="21"/>
              </w:rPr>
              <w:t>。</w:t>
            </w:r>
          </w:p>
        </w:tc>
      </w:tr>
      <w:tr w14:paraId="185B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1D1A4A81">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7C9BD7AD">
            <w:pPr>
              <w:spacing w:line="400" w:lineRule="exact"/>
              <w:jc w:val="left"/>
              <w:rPr>
                <w:rFonts w:ascii="宋体" w:hAnsi="宋体" w:cs="宋体"/>
                <w:szCs w:val="21"/>
              </w:rPr>
            </w:pPr>
            <w:r>
              <w:rPr>
                <w:rFonts w:hint="eastAsia" w:ascii="宋体" w:hAnsi="宋体" w:cs="宋体"/>
                <w:szCs w:val="21"/>
              </w:rPr>
              <w:t>与其他报价供应商的报价文件由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335A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758EE61">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1975F7D0">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5FA72550">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362C7F69">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（一）通过转让或者租借等方式从其他单位获取资格或者资质证书报价的。</w:t>
      </w:r>
    </w:p>
    <w:p w14:paraId="54418988">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（二）由其他单位或者其他单位负责人在报价供应商编制的报价文件上加盖印章或者签字的。</w:t>
      </w:r>
    </w:p>
    <w:p w14:paraId="4CD03370">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25860A54">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4A489BD3">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二、我单位已充分知悉“与其他采购参加人串通报价”的法定情形，包括但不限于：</w:t>
      </w:r>
    </w:p>
    <w:p w14:paraId="062CCB05">
      <w:pPr>
        <w:spacing w:line="380" w:lineRule="exact"/>
        <w:ind w:firstLine="420" w:firstLineChars="200"/>
        <w:rPr>
          <w:rFonts w:ascii="宋体" w:hAnsi="宋体" w:cs="宋体"/>
          <w:szCs w:val="21"/>
        </w:rPr>
      </w:pPr>
      <w:r>
        <w:rPr>
          <w:rFonts w:hint="eastAsia" w:ascii="宋体" w:hAnsi="宋体" w:cs="宋体"/>
          <w:szCs w:val="21"/>
        </w:rPr>
        <w:t>（一）报价供应商之间相互约定给予未中标的供应商利益补偿。</w:t>
      </w:r>
    </w:p>
    <w:p w14:paraId="768BB5D9">
      <w:pPr>
        <w:spacing w:line="380" w:lineRule="exact"/>
        <w:ind w:firstLine="420" w:firstLineChars="200"/>
        <w:rPr>
          <w:rFonts w:ascii="宋体" w:hAnsi="宋体" w:cs="宋体"/>
          <w:szCs w:val="21"/>
        </w:rPr>
      </w:pPr>
      <w:r>
        <w:rPr>
          <w:rFonts w:hint="eastAsia" w:ascii="宋体" w:hAnsi="宋体" w:cs="宋体"/>
          <w:szCs w:val="21"/>
        </w:rPr>
        <w:t>（二）不同报价供应商的法定代表人、主要经营负责人、项目报价授权代表人、项目负责人、主要技术人员为同一人、属同一单位或者在同一单位缴纳社会保险。</w:t>
      </w:r>
    </w:p>
    <w:p w14:paraId="193E3FD3">
      <w:pPr>
        <w:spacing w:line="340" w:lineRule="exact"/>
        <w:ind w:firstLine="420" w:firstLineChars="200"/>
        <w:rPr>
          <w:rFonts w:ascii="宋体" w:hAnsi="宋体" w:cs="宋体"/>
          <w:szCs w:val="21"/>
        </w:rPr>
      </w:pPr>
      <w:r>
        <w:rPr>
          <w:rFonts w:hint="eastAsia" w:ascii="宋体" w:hAnsi="宋体" w:cs="宋体"/>
          <w:szCs w:val="21"/>
        </w:rPr>
        <w:t>（三）不同报价供应商的报价文件由同一单位或者同一人编制，或者由同一人分阶段参与编制的。</w:t>
      </w:r>
    </w:p>
    <w:p w14:paraId="229CA96E">
      <w:pPr>
        <w:spacing w:line="340" w:lineRule="exact"/>
        <w:ind w:firstLine="420" w:firstLineChars="200"/>
        <w:rPr>
          <w:rFonts w:ascii="宋体" w:hAnsi="宋体" w:cs="宋体"/>
          <w:szCs w:val="21"/>
        </w:rPr>
      </w:pPr>
      <w:r>
        <w:rPr>
          <w:rFonts w:hint="eastAsia" w:ascii="宋体" w:hAnsi="宋体" w:cs="宋体"/>
          <w:szCs w:val="21"/>
        </w:rPr>
        <w:t>（四）不同报价供应商的报价文件或部分报价文件相互混装。</w:t>
      </w:r>
    </w:p>
    <w:p w14:paraId="302EB3E2">
      <w:pPr>
        <w:spacing w:line="340" w:lineRule="exact"/>
        <w:ind w:firstLine="420" w:firstLineChars="200"/>
        <w:rPr>
          <w:rFonts w:ascii="宋体" w:hAnsi="宋体" w:cs="宋体"/>
          <w:szCs w:val="21"/>
        </w:rPr>
      </w:pPr>
      <w:r>
        <w:rPr>
          <w:rFonts w:hint="eastAsia" w:ascii="宋体" w:hAnsi="宋体" w:cs="宋体"/>
          <w:szCs w:val="21"/>
        </w:rPr>
        <w:t>（五）不同报价供应商的报价文件内容存在非正常一致。</w:t>
      </w:r>
    </w:p>
    <w:p w14:paraId="26CDC86C">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（六）由同一单位工作人员为两家以上（含两家）供应商进行同一项报价活动的。</w:t>
      </w:r>
    </w:p>
    <w:p w14:paraId="0B9BB7CE">
      <w:pPr>
        <w:spacing w:line="340" w:lineRule="exact"/>
        <w:ind w:firstLine="420" w:firstLineChars="200"/>
        <w:rPr>
          <w:rFonts w:ascii="宋体" w:hAnsi="宋体" w:cs="宋体"/>
          <w:szCs w:val="21"/>
        </w:rPr>
      </w:pPr>
      <w:r>
        <w:rPr>
          <w:rFonts w:hint="eastAsia" w:ascii="宋体" w:hAnsi="宋体" w:cs="宋体"/>
          <w:szCs w:val="21"/>
        </w:rPr>
        <w:t>（七）不同报价人的报价呈规律性差异。</w:t>
      </w:r>
    </w:p>
    <w:p w14:paraId="6FEA6261">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2B346304">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三、我单位已充分知悉下列情形存在法律风险，在报价前已对相关风险事项进行排查。</w:t>
      </w:r>
    </w:p>
    <w:p w14:paraId="72004CD4">
      <w:pPr>
        <w:spacing w:line="340" w:lineRule="exact"/>
        <w:ind w:firstLine="420" w:firstLineChars="200"/>
        <w:rPr>
          <w:rFonts w:ascii="宋体" w:hAnsi="宋体" w:cs="宋体"/>
          <w:b/>
          <w:szCs w:val="21"/>
        </w:rPr>
      </w:pPr>
      <w:r>
        <w:rPr>
          <w:rFonts w:hint="eastAsia" w:ascii="宋体" w:hAnsi="宋体" w:cs="宋体"/>
          <w:szCs w:val="21"/>
        </w:rPr>
        <w:t>（一）对于从其他主体获取的报价资料，我单位应审慎核查，确保其真实性。</w:t>
      </w:r>
      <w:r>
        <w:rPr>
          <w:rFonts w:hint="eastAsia" w:ascii="宋体" w:hAnsi="宋体" w:cs="宋体"/>
          <w:b/>
          <w:szCs w:val="21"/>
        </w:rPr>
        <w:t>如主管部门查实报价文件中存在虚假资料的，无论相关资料是否由第三方或本公司员工提供，均不影响主管部门对供应商存在“隐瞒真实情况，提供虚假资料”违法行为的认定。</w:t>
      </w:r>
    </w:p>
    <w:p w14:paraId="71722F6D">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28B2089A">
      <w:pPr>
        <w:spacing w:line="340" w:lineRule="exact"/>
        <w:ind w:firstLine="422" w:firstLineChars="200"/>
        <w:rPr>
          <w:rFonts w:ascii="宋体" w:hAnsi="宋体" w:cs="宋体"/>
          <w:b/>
          <w:szCs w:val="21"/>
        </w:rPr>
      </w:pPr>
      <w:r>
        <w:rPr>
          <w:rFonts w:hint="eastAsia" w:ascii="宋体" w:hAnsi="宋体" w:cs="宋体"/>
          <w:b/>
          <w:szCs w:val="21"/>
        </w:rPr>
        <w:t>四、我单位已充分知悉询价采购违法、违规行为的法律后果。</w:t>
      </w:r>
    </w:p>
    <w:p w14:paraId="1E01F874">
      <w:pPr>
        <w:spacing w:line="340" w:lineRule="exact"/>
        <w:ind w:firstLine="420" w:firstLineChars="200"/>
        <w:rPr>
          <w:rFonts w:ascii="宋体" w:hAnsi="宋体" w:cs="宋体"/>
          <w:szCs w:val="21"/>
        </w:rPr>
      </w:pPr>
      <w:r>
        <w:rPr>
          <w:rFonts w:hint="eastAsia" w:ascii="宋体" w:hAnsi="宋体" w:cs="宋体"/>
          <w:szCs w:val="21"/>
        </w:rPr>
        <w:t>经查实，若我单位存在询价采购违法、违规行为，采购方有权依据《深圳经济特区政府采购条例》第五十七条的规定，处以一至三年内禁止参与本单位询价采购，并记入供应商诚信档案。</w:t>
      </w:r>
    </w:p>
    <w:p w14:paraId="5A1E1AC6">
      <w:pPr>
        <w:spacing w:line="340" w:lineRule="exact"/>
        <w:ind w:firstLine="420" w:firstLineChars="200"/>
        <w:rPr>
          <w:rFonts w:ascii="宋体" w:hAnsi="宋体" w:cs="宋体"/>
          <w:szCs w:val="21"/>
        </w:rPr>
      </w:pPr>
      <w:r>
        <w:rPr>
          <w:rFonts w:hint="eastAsia" w:ascii="宋体" w:hAnsi="宋体" w:cs="宋体"/>
          <w:szCs w:val="21"/>
        </w:rPr>
        <w:t>以下文字请报价供应商抄写并确认：“我单位已仔细阅读《询价采购违法行为风险知悉确认书》，充分知悉违法行为的法律后果，并承诺将严谨、诚信、依法依规参与询价采购活动”。</w:t>
      </w:r>
    </w:p>
    <w:tbl>
      <w:tblPr>
        <w:tblStyle w:val="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12B7C23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385C0F05">
            <w:pPr>
              <w:autoSpaceDE w:val="0"/>
              <w:autoSpaceDN w:val="0"/>
              <w:spacing w:line="340" w:lineRule="exact"/>
              <w:ind w:firstLine="1866"/>
              <w:rPr>
                <w:rFonts w:ascii="宋体" w:hAnsi="宋体" w:cs="宋体"/>
                <w:spacing w:val="-4"/>
                <w:kern w:val="0"/>
                <w:szCs w:val="21"/>
              </w:rPr>
            </w:pPr>
          </w:p>
        </w:tc>
      </w:tr>
      <w:tr w14:paraId="6903219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18DE61D8">
            <w:pPr>
              <w:autoSpaceDE w:val="0"/>
              <w:autoSpaceDN w:val="0"/>
              <w:spacing w:line="340" w:lineRule="exact"/>
              <w:ind w:firstLine="1866"/>
              <w:rPr>
                <w:rFonts w:ascii="宋体" w:hAnsi="宋体" w:cs="宋体"/>
                <w:spacing w:val="-4"/>
                <w:kern w:val="0"/>
                <w:szCs w:val="21"/>
              </w:rPr>
            </w:pPr>
          </w:p>
        </w:tc>
      </w:tr>
      <w:tr w14:paraId="2C0C97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225F4A87">
            <w:pPr>
              <w:autoSpaceDE w:val="0"/>
              <w:autoSpaceDN w:val="0"/>
              <w:spacing w:line="340" w:lineRule="exact"/>
              <w:ind w:firstLine="1866"/>
              <w:rPr>
                <w:rFonts w:ascii="宋体" w:hAnsi="宋体" w:cs="宋体"/>
                <w:spacing w:val="-4"/>
                <w:kern w:val="0"/>
                <w:szCs w:val="21"/>
              </w:rPr>
            </w:pPr>
          </w:p>
        </w:tc>
      </w:tr>
      <w:tr w14:paraId="31881DC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03EE5589">
            <w:pPr>
              <w:autoSpaceDE w:val="0"/>
              <w:autoSpaceDN w:val="0"/>
              <w:spacing w:line="340" w:lineRule="exact"/>
              <w:ind w:firstLine="1866"/>
              <w:rPr>
                <w:rFonts w:ascii="宋体" w:hAnsi="宋体" w:cs="宋体"/>
                <w:spacing w:val="-4"/>
                <w:kern w:val="0"/>
                <w:szCs w:val="21"/>
              </w:rPr>
            </w:pPr>
          </w:p>
        </w:tc>
      </w:tr>
    </w:tbl>
    <w:p w14:paraId="7BEA87C4">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5424E3C1">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25053C2B">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4F9DDEB9">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2F7C860C">
      <w:pPr>
        <w:spacing w:line="360" w:lineRule="auto"/>
        <w:ind w:firstLine="420" w:firstLineChars="200"/>
        <w:rPr>
          <w:szCs w:val="21"/>
        </w:rPr>
      </w:pPr>
    </w:p>
    <w:p w14:paraId="01AEEA3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D64E3"/>
    <w:rsid w:val="09FD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qFormat/>
    <w:uiPriority w:val="0"/>
    <w:pPr>
      <w:jc w:val="center"/>
      <w:outlineLvl w:val="1"/>
    </w:pPr>
    <w:rPr>
      <w:rFonts w:ascii="Arial" w:hAnsi="Arial" w:eastAsiaTheme="minorEastAsia"/>
      <w:sz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2026-04-08T09:24:00Z</dcterms:created>
  <dc:creator>RUIFOX</dc:creator>
  <cp:lastModifiedBy>RUIFOX</cp:lastModifiedBy>
  <dcterms:modified xsi:type="dcterms:W3CDTF">2026-04-08T09:25:55Z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2C35D2F8E6B843C6B68DE4AE15B4675A_11</vt:lpwstr>
  </property>
  <property fmtid="{D5CDD505-2E9C-101B-9397-08002B2CF9AE}" pid="4" name="KSOTemplateDocerSaveRecord">
    <vt:lpwstr>eyJoZGlkIjoiMzk1YzFlOTRhNzdhNDczMTNjMmE1MDI0YWZhNDQxZDkiLCJ1c2VySWQiOiIxMTY5MjIwMTYwIn0=</vt:lpwstr>
  </property>
</Properties>
</file>